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阿图什市房地产服务中心2024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DA45B3">
      <w:r>
        <w:br w:type="page"/>
      </w:r>
    </w:p>
    <w:p w14:paraId="44829B66">
      <w:pPr>
        <w:spacing w:line="640" w:lineRule="exact"/>
        <w:jc w:val="center"/>
        <w:outlineLvl w:val="1"/>
      </w:pPr>
      <w:r>
        <w:rPr>
          <w:rFonts w:ascii="黑体" w:hAnsi="黑体" w:eastAsia="黑体"/>
          <w:sz w:val="32"/>
        </w:rPr>
        <w:t>第一部分 单位概况</w:t>
      </w:r>
    </w:p>
    <w:p w14:paraId="08F74132">
      <w:pPr>
        <w:spacing w:line="640" w:lineRule="exact"/>
        <w:ind w:firstLine="640"/>
        <w:jc w:val="both"/>
        <w:outlineLvl w:val="2"/>
      </w:pPr>
      <w:r>
        <w:rPr>
          <w:rFonts w:ascii="黑体" w:hAnsi="黑体" w:eastAsia="黑体"/>
          <w:sz w:val="32"/>
        </w:rPr>
        <w:t>一、主要职能</w:t>
      </w:r>
    </w:p>
    <w:p w14:paraId="408C8019">
      <w:pPr>
        <w:spacing w:line="580" w:lineRule="exact"/>
        <w:ind w:firstLine="640"/>
        <w:jc w:val="both"/>
      </w:pPr>
      <w:r>
        <w:rPr>
          <w:rFonts w:ascii="仿宋_GB2312" w:hAnsi="仿宋_GB2312" w:eastAsia="仿宋_GB2312"/>
          <w:sz w:val="32"/>
        </w:rPr>
        <w:t>1.贯彻执行国家、自治区、自治州有关房产法律、法规和方针、政策，拟定全市房产管理地方性文件、实施办法，并组织全面实施。</w:t>
      </w:r>
    </w:p>
    <w:p w14:paraId="5AC75DBA">
      <w:pPr>
        <w:spacing w:line="580" w:lineRule="exact"/>
        <w:ind w:firstLine="640"/>
        <w:jc w:val="both"/>
      </w:pPr>
      <w:r>
        <w:rPr>
          <w:rFonts w:ascii="仿宋_GB2312" w:hAnsi="仿宋_GB2312" w:eastAsia="仿宋_GB2312"/>
          <w:sz w:val="32"/>
        </w:rPr>
        <w:t>2.负责全市房地产开发、交易市场的服务管理</w:t>
      </w:r>
      <w:r>
        <w:rPr>
          <w:rFonts w:hint="eastAsia" w:ascii="仿宋_GB2312" w:hAnsi="仿宋_GB2312" w:eastAsia="仿宋_GB2312"/>
          <w:sz w:val="32"/>
          <w:lang w:eastAsia="zh-CN"/>
        </w:rPr>
        <w:t>；</w:t>
      </w:r>
      <w:r>
        <w:rPr>
          <w:rFonts w:ascii="仿宋_GB2312" w:hAnsi="仿宋_GB2312" w:eastAsia="仿宋_GB2312"/>
          <w:sz w:val="32"/>
        </w:rPr>
        <w:t>负责整顿、规范</w:t>
      </w:r>
      <w:r>
        <w:rPr>
          <w:rFonts w:hint="eastAsia" w:ascii="仿宋_GB2312" w:hAnsi="仿宋_GB2312" w:eastAsia="仿宋_GB2312"/>
          <w:sz w:val="32"/>
          <w:lang w:eastAsia="zh-CN"/>
        </w:rPr>
        <w:t>房地</w:t>
      </w:r>
      <w:r>
        <w:rPr>
          <w:rFonts w:ascii="仿宋_GB2312" w:hAnsi="仿宋_GB2312" w:eastAsia="仿宋_GB2312"/>
          <w:sz w:val="32"/>
        </w:rPr>
        <w:t>产市场</w:t>
      </w:r>
      <w:r>
        <w:rPr>
          <w:rFonts w:hint="eastAsia" w:ascii="仿宋_GB2312" w:hAnsi="仿宋_GB2312" w:eastAsia="仿宋_GB2312"/>
          <w:sz w:val="32"/>
          <w:lang w:eastAsia="zh-CN"/>
        </w:rPr>
        <w:t>；</w:t>
      </w:r>
      <w:r>
        <w:rPr>
          <w:rFonts w:ascii="仿宋_GB2312" w:hAnsi="仿宋_GB2312" w:eastAsia="仿宋_GB2312"/>
          <w:sz w:val="32"/>
        </w:rPr>
        <w:t>负责房地产中介服务指导与管理。</w:t>
      </w:r>
    </w:p>
    <w:p w14:paraId="1EFE8395">
      <w:pPr>
        <w:spacing w:line="580" w:lineRule="exact"/>
        <w:ind w:firstLine="640"/>
        <w:jc w:val="both"/>
      </w:pPr>
      <w:r>
        <w:rPr>
          <w:rFonts w:ascii="仿宋_GB2312" w:hAnsi="仿宋_GB2312" w:eastAsia="仿宋_GB2312"/>
          <w:sz w:val="32"/>
        </w:rPr>
        <w:t>3.负责全市房屋产权产籍、抵押等管理工作、房地产评估、测绘服务管理、商品房预</w:t>
      </w:r>
      <w:r>
        <w:rPr>
          <w:rFonts w:hint="eastAsia" w:ascii="仿宋_GB2312" w:hAnsi="仿宋_GB2312" w:eastAsia="仿宋_GB2312"/>
          <w:sz w:val="32"/>
          <w:lang w:eastAsia="zh-CN"/>
        </w:rPr>
        <w:t>（</w:t>
      </w:r>
      <w:r>
        <w:rPr>
          <w:rFonts w:ascii="仿宋_GB2312" w:hAnsi="仿宋_GB2312" w:eastAsia="仿宋_GB2312"/>
          <w:sz w:val="32"/>
        </w:rPr>
        <w:t>销)售管理和房屋网签备案。</w:t>
      </w:r>
    </w:p>
    <w:p w14:paraId="01EBA9DA">
      <w:pPr>
        <w:spacing w:line="580" w:lineRule="exact"/>
        <w:ind w:firstLine="640"/>
        <w:jc w:val="both"/>
      </w:pPr>
      <w:r>
        <w:rPr>
          <w:rFonts w:ascii="仿宋_GB2312" w:hAnsi="仿宋_GB2312" w:eastAsia="仿宋_GB2312"/>
          <w:sz w:val="32"/>
        </w:rPr>
        <w:t>4.负责城市物业管理工作的协调、指导</w:t>
      </w:r>
      <w:r>
        <w:rPr>
          <w:rFonts w:hint="eastAsia" w:ascii="仿宋_GB2312" w:hAnsi="仿宋_GB2312" w:eastAsia="仿宋_GB2312"/>
          <w:sz w:val="32"/>
          <w:lang w:eastAsia="zh-CN"/>
        </w:rPr>
        <w:t>，</w:t>
      </w:r>
      <w:r>
        <w:rPr>
          <w:rFonts w:ascii="仿宋_GB2312" w:hAnsi="仿宋_GB2312" w:eastAsia="仿宋_GB2312"/>
          <w:sz w:val="32"/>
        </w:rPr>
        <w:t>管理物业企业</w:t>
      </w:r>
      <w:r>
        <w:rPr>
          <w:rFonts w:hint="eastAsia" w:ascii="仿宋_GB2312" w:hAnsi="仿宋_GB2312" w:eastAsia="仿宋_GB2312"/>
          <w:sz w:val="32"/>
          <w:lang w:eastAsia="zh-CN"/>
        </w:rPr>
        <w:t>；</w:t>
      </w:r>
      <w:r>
        <w:rPr>
          <w:rFonts w:ascii="仿宋_GB2312" w:hAnsi="仿宋_GB2312" w:eastAsia="仿宋_GB2312"/>
          <w:sz w:val="32"/>
        </w:rPr>
        <w:t>负责住宅专项维修资金的归集管理并监督使用。</w:t>
      </w:r>
    </w:p>
    <w:p w14:paraId="2F4F9988">
      <w:pPr>
        <w:spacing w:line="580" w:lineRule="exact"/>
        <w:ind w:firstLine="640"/>
        <w:jc w:val="both"/>
      </w:pPr>
      <w:r>
        <w:rPr>
          <w:rFonts w:ascii="仿宋_GB2312" w:hAnsi="仿宋_GB2312" w:eastAsia="仿宋_GB2312"/>
          <w:sz w:val="32"/>
        </w:rPr>
        <w:t>5.承办市人民政府交办的其他事项。</w:t>
      </w:r>
    </w:p>
    <w:p w14:paraId="027ED811">
      <w:pPr>
        <w:spacing w:line="640" w:lineRule="exact"/>
        <w:ind w:firstLine="640"/>
        <w:jc w:val="both"/>
        <w:outlineLvl w:val="2"/>
      </w:pPr>
      <w:r>
        <w:rPr>
          <w:rFonts w:ascii="黑体" w:hAnsi="黑体" w:eastAsia="黑体"/>
          <w:sz w:val="32"/>
        </w:rPr>
        <w:t>二、机构设置及人员情况</w:t>
      </w:r>
    </w:p>
    <w:p w14:paraId="4306FA4E">
      <w:pPr>
        <w:spacing w:line="580" w:lineRule="exact"/>
        <w:ind w:firstLine="640"/>
        <w:jc w:val="both"/>
      </w:pPr>
      <w:r>
        <w:rPr>
          <w:rFonts w:ascii="仿宋_GB2312" w:hAnsi="仿宋_GB2312" w:eastAsia="仿宋_GB2312"/>
          <w:sz w:val="32"/>
        </w:rPr>
        <w:t>阿图什市房地产服务中心2024年度，实有人数16人，其中：在职人员10人，减少1人；离休人员0人，增加0人；退休人员6人,增加0人。</w:t>
      </w:r>
    </w:p>
    <w:p w14:paraId="3200C74B">
      <w:pPr>
        <w:spacing w:line="580" w:lineRule="exact"/>
        <w:ind w:firstLine="640"/>
        <w:jc w:val="both"/>
      </w:pPr>
      <w:r>
        <w:rPr>
          <w:rFonts w:ascii="仿宋_GB2312" w:hAnsi="仿宋_GB2312" w:eastAsia="仿宋_GB2312"/>
          <w:sz w:val="32"/>
        </w:rPr>
        <w:t>阿图什市房地产服务中心无下属预算单位，下设2个科室，分别是：业务科、物业管理办公室。</w:t>
      </w:r>
    </w:p>
    <w:p w14:paraId="7DFB2D73">
      <w:r>
        <w:br w:type="page"/>
      </w:r>
    </w:p>
    <w:p w14:paraId="2CF9FFF5">
      <w:pPr>
        <w:spacing w:line="240" w:lineRule="auto"/>
        <w:jc w:val="center"/>
        <w:outlineLvl w:val="1"/>
      </w:pPr>
      <w:r>
        <w:rPr>
          <w:rFonts w:ascii="黑体" w:hAnsi="黑体" w:eastAsia="黑体"/>
          <w:sz w:val="32"/>
        </w:rPr>
        <w:t>第二部分 部门决算情况说明</w:t>
      </w:r>
    </w:p>
    <w:p w14:paraId="455908E3">
      <w:pPr>
        <w:spacing w:line="640" w:lineRule="exact"/>
        <w:ind w:firstLine="640"/>
        <w:jc w:val="both"/>
        <w:outlineLvl w:val="2"/>
      </w:pPr>
      <w:r>
        <w:rPr>
          <w:rFonts w:ascii="黑体" w:hAnsi="黑体" w:eastAsia="黑体"/>
          <w:sz w:val="32"/>
        </w:rPr>
        <w:t>一、收入支出决算总体情况说明</w:t>
      </w:r>
    </w:p>
    <w:p w14:paraId="0A1CCA12">
      <w:pPr>
        <w:spacing w:line="580" w:lineRule="exact"/>
        <w:ind w:firstLine="640"/>
        <w:jc w:val="both"/>
      </w:pPr>
      <w:r>
        <w:rPr>
          <w:rFonts w:ascii="仿宋_GB2312" w:hAnsi="仿宋_GB2312" w:eastAsia="仿宋_GB2312"/>
          <w:b/>
          <w:sz w:val="32"/>
        </w:rPr>
        <w:t>2024年度收入总计198.24万元，</w:t>
      </w:r>
      <w:r>
        <w:rPr>
          <w:rFonts w:ascii="仿宋_GB2312" w:hAnsi="仿宋_GB2312" w:eastAsia="仿宋_GB2312"/>
          <w:b w:val="0"/>
          <w:sz w:val="32"/>
        </w:rPr>
        <w:t>其中：本年收入合计198.24万元，使用非财政拨款结余（含专用结余）0.00万元，年初结转和结余0.00万元。</w:t>
      </w:r>
    </w:p>
    <w:p w14:paraId="05BBEEC5">
      <w:pPr>
        <w:spacing w:line="580" w:lineRule="exact"/>
        <w:ind w:firstLine="640"/>
        <w:jc w:val="both"/>
      </w:pPr>
      <w:r>
        <w:rPr>
          <w:rFonts w:ascii="仿宋_GB2312" w:hAnsi="仿宋_GB2312" w:eastAsia="仿宋_GB2312"/>
          <w:b/>
          <w:sz w:val="32"/>
        </w:rPr>
        <w:t>2024年度支出总计198.24万元，</w:t>
      </w:r>
      <w:r>
        <w:rPr>
          <w:rFonts w:ascii="仿宋_GB2312" w:hAnsi="仿宋_GB2312" w:eastAsia="仿宋_GB2312"/>
          <w:b w:val="0"/>
          <w:sz w:val="32"/>
        </w:rPr>
        <w:t>其中：本年支出合计198.24万元，结余分配0.00万元，年末结转和结余0.00万元。</w:t>
      </w:r>
    </w:p>
    <w:p w14:paraId="696D9D99">
      <w:pPr>
        <w:spacing w:line="580" w:lineRule="exact"/>
        <w:ind w:firstLine="640"/>
        <w:jc w:val="both"/>
      </w:pPr>
      <w:r>
        <w:rPr>
          <w:rFonts w:ascii="仿宋_GB2312" w:hAnsi="仿宋_GB2312" w:eastAsia="仿宋_GB2312"/>
          <w:b w:val="0"/>
          <w:sz w:val="32"/>
        </w:rPr>
        <w:t>收入支出总体与上年相比，增加2.80万元，增长1.43%，主要原因是：</w:t>
      </w:r>
      <w:r>
        <w:rPr>
          <w:rFonts w:hint="eastAsia" w:ascii="仿宋_GB2312" w:hAnsi="仿宋_GB2312" w:eastAsia="仿宋_GB2312"/>
          <w:b w:val="0"/>
          <w:sz w:val="32"/>
          <w:lang w:val="en-US" w:eastAsia="zh-CN"/>
        </w:rPr>
        <w:t>本年增加死亡人员</w:t>
      </w:r>
      <w:r>
        <w:rPr>
          <w:rFonts w:ascii="仿宋_GB2312" w:hAnsi="仿宋_GB2312" w:eastAsia="仿宋_GB2312"/>
          <w:b w:val="0"/>
          <w:sz w:val="32"/>
        </w:rPr>
        <w:t>丧葬费及抚恤金。</w:t>
      </w:r>
    </w:p>
    <w:p w14:paraId="308F0DA1">
      <w:pPr>
        <w:spacing w:line="640" w:lineRule="exact"/>
        <w:ind w:firstLine="640"/>
        <w:jc w:val="both"/>
        <w:outlineLvl w:val="2"/>
      </w:pPr>
      <w:r>
        <w:rPr>
          <w:rFonts w:ascii="黑体" w:hAnsi="黑体" w:eastAsia="黑体"/>
          <w:sz w:val="32"/>
        </w:rPr>
        <w:t>二、收入决算情况说明</w:t>
      </w:r>
    </w:p>
    <w:p w14:paraId="25756679">
      <w:pPr>
        <w:spacing w:line="580" w:lineRule="exact"/>
        <w:ind w:firstLine="640"/>
        <w:jc w:val="both"/>
      </w:pPr>
      <w:r>
        <w:rPr>
          <w:rFonts w:ascii="仿宋_GB2312" w:hAnsi="仿宋_GB2312" w:eastAsia="仿宋_GB2312"/>
          <w:b/>
          <w:sz w:val="32"/>
        </w:rPr>
        <w:t>本年收入198.24万元，</w:t>
      </w:r>
      <w:r>
        <w:rPr>
          <w:rFonts w:ascii="仿宋_GB2312" w:hAnsi="仿宋_GB2312" w:eastAsia="仿宋_GB2312"/>
          <w:b w:val="0"/>
          <w:sz w:val="32"/>
        </w:rPr>
        <w:t>其中：财政拨款收入198.24万元，占100.00%；上级补助收入0.00万元，占0.00%；事业收入0.00万元，占0.00%；经营收入0.00万元，占0.00%；附属单位上缴收入0.00万元，占0.00%；其他收入0.00万元，占0.00%。</w:t>
      </w:r>
    </w:p>
    <w:p w14:paraId="4BAD5C31">
      <w:pPr>
        <w:spacing w:line="640" w:lineRule="exact"/>
        <w:ind w:firstLine="640"/>
        <w:jc w:val="both"/>
        <w:outlineLvl w:val="2"/>
      </w:pPr>
      <w:r>
        <w:rPr>
          <w:rFonts w:ascii="黑体" w:hAnsi="黑体" w:eastAsia="黑体"/>
          <w:sz w:val="32"/>
        </w:rPr>
        <w:t>三、支出决算情况说明</w:t>
      </w:r>
    </w:p>
    <w:p w14:paraId="6F733DE2">
      <w:pPr>
        <w:spacing w:line="580" w:lineRule="exact"/>
        <w:ind w:firstLine="640"/>
        <w:jc w:val="both"/>
      </w:pPr>
      <w:r>
        <w:rPr>
          <w:rFonts w:ascii="仿宋_GB2312" w:hAnsi="仿宋_GB2312" w:eastAsia="仿宋_GB2312"/>
          <w:b/>
          <w:sz w:val="32"/>
        </w:rPr>
        <w:t>本年支出198.24万元，</w:t>
      </w:r>
      <w:r>
        <w:rPr>
          <w:rFonts w:ascii="仿宋_GB2312" w:hAnsi="仿宋_GB2312" w:eastAsia="仿宋_GB2312"/>
          <w:b w:val="0"/>
          <w:sz w:val="32"/>
        </w:rPr>
        <w:t>其中：基本支出196.74万元，占99.24%；项目支出1.50万元，占0.76%；上缴上级支出0.00万元，占0.00%；经营支出0.00万元，占0.00%；对附属单位补助支出0.00万元，占0.00%。</w:t>
      </w:r>
    </w:p>
    <w:p w14:paraId="68CF4BE2">
      <w:pPr>
        <w:spacing w:line="640" w:lineRule="exact"/>
        <w:ind w:firstLine="640"/>
        <w:jc w:val="both"/>
        <w:outlineLvl w:val="2"/>
      </w:pPr>
      <w:r>
        <w:rPr>
          <w:rFonts w:ascii="黑体" w:hAnsi="黑体" w:eastAsia="黑体"/>
          <w:sz w:val="32"/>
        </w:rPr>
        <w:t>四、财政拨款收入支出决算总体情况说明</w:t>
      </w:r>
    </w:p>
    <w:p w14:paraId="61FDE21E">
      <w:pPr>
        <w:spacing w:line="580" w:lineRule="exact"/>
        <w:ind w:firstLine="640"/>
        <w:jc w:val="both"/>
      </w:pPr>
      <w:r>
        <w:rPr>
          <w:rFonts w:ascii="仿宋_GB2312" w:hAnsi="仿宋_GB2312" w:eastAsia="仿宋_GB2312"/>
          <w:b/>
          <w:sz w:val="32"/>
        </w:rPr>
        <w:t>2024年度财政拨款收入总计198.24万元，</w:t>
      </w:r>
      <w:r>
        <w:rPr>
          <w:rFonts w:ascii="仿宋_GB2312" w:hAnsi="仿宋_GB2312" w:eastAsia="仿宋_GB2312"/>
          <w:b w:val="0"/>
          <w:sz w:val="32"/>
        </w:rPr>
        <w:t>其中：年初财政拨款结转和结余0.00万元，本年财政拨款收入198.24万元。</w:t>
      </w:r>
      <w:r>
        <w:rPr>
          <w:rFonts w:ascii="仿宋_GB2312" w:hAnsi="仿宋_GB2312" w:eastAsia="仿宋_GB2312"/>
          <w:b/>
          <w:sz w:val="32"/>
        </w:rPr>
        <w:t>财政拨款支出总计198.24万元，</w:t>
      </w:r>
      <w:r>
        <w:rPr>
          <w:rFonts w:ascii="仿宋_GB2312" w:hAnsi="仿宋_GB2312" w:eastAsia="仿宋_GB2312"/>
          <w:b w:val="0"/>
          <w:sz w:val="32"/>
        </w:rPr>
        <w:t>其中：年末财政拨款结转和结余0.00万元，本年财政拨款支出198.24万元。</w:t>
      </w:r>
    </w:p>
    <w:p w14:paraId="01AB6F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增加2.80万元，增长1.43%，主要原因是：</w:t>
      </w:r>
      <w:r>
        <w:rPr>
          <w:rFonts w:hint="eastAsia" w:ascii="仿宋_GB2312" w:hAnsi="仿宋_GB2312" w:eastAsia="仿宋_GB2312"/>
          <w:b w:val="0"/>
          <w:sz w:val="32"/>
          <w:lang w:val="en-US" w:eastAsia="zh-CN"/>
        </w:rPr>
        <w:t>本年增加死亡人员</w:t>
      </w:r>
      <w:r>
        <w:rPr>
          <w:rFonts w:ascii="仿宋_GB2312" w:hAnsi="仿宋_GB2312" w:eastAsia="仿宋_GB2312"/>
          <w:b w:val="0"/>
          <w:sz w:val="32"/>
        </w:rPr>
        <w:t>丧葬费及抚恤金。</w:t>
      </w:r>
      <w:r>
        <w:rPr>
          <w:rFonts w:ascii="仿宋_GB2312" w:hAnsi="仿宋_GB2312" w:eastAsia="仿宋_GB2312"/>
          <w:b/>
          <w:sz w:val="32"/>
        </w:rPr>
        <w:t>与年初预算相比，</w:t>
      </w:r>
      <w:r>
        <w:rPr>
          <w:rFonts w:ascii="仿宋_GB2312" w:hAnsi="仿宋_GB2312" w:eastAsia="仿宋_GB2312"/>
          <w:b w:val="0"/>
          <w:sz w:val="32"/>
        </w:rPr>
        <w:t>年初预算数189.33万元，决算数198.24万元，预决算差异率4.71%，主要原因是：年中追加</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抚恤金</w:t>
      </w:r>
      <w:r>
        <w:rPr>
          <w:rFonts w:ascii="仿宋_GB2312" w:hAnsi="仿宋_GB2312" w:eastAsia="仿宋_GB2312"/>
          <w:b w:val="0"/>
          <w:sz w:val="32"/>
        </w:rPr>
        <w:t>，导致预决算存在差异。</w:t>
      </w:r>
    </w:p>
    <w:p w14:paraId="41AACB4B">
      <w:pPr>
        <w:spacing w:line="640" w:lineRule="exact"/>
        <w:ind w:firstLine="640"/>
        <w:jc w:val="both"/>
        <w:outlineLvl w:val="2"/>
      </w:pPr>
      <w:r>
        <w:rPr>
          <w:rFonts w:ascii="黑体" w:hAnsi="黑体" w:eastAsia="黑体"/>
          <w:sz w:val="32"/>
        </w:rPr>
        <w:t>五、一般公共预算财政拨款支出决算情况说明</w:t>
      </w:r>
    </w:p>
    <w:p w14:paraId="4B670713">
      <w:pPr>
        <w:spacing w:line="640" w:lineRule="exact"/>
        <w:ind w:firstLine="640"/>
        <w:jc w:val="both"/>
        <w:outlineLvl w:val="3"/>
      </w:pPr>
      <w:r>
        <w:rPr>
          <w:rFonts w:ascii="楷体_GB2312" w:hAnsi="楷体_GB2312" w:eastAsia="楷体_GB2312"/>
          <w:b/>
          <w:sz w:val="32"/>
        </w:rPr>
        <w:t>（一）一般公共预算财政拨款支出决算总体情况</w:t>
      </w:r>
    </w:p>
    <w:p w14:paraId="4EFA953D">
      <w:pPr>
        <w:spacing w:line="580" w:lineRule="exact"/>
        <w:ind w:firstLine="640"/>
        <w:jc w:val="both"/>
      </w:pPr>
      <w:r>
        <w:rPr>
          <w:rFonts w:ascii="仿宋_GB2312" w:hAnsi="仿宋_GB2312" w:eastAsia="仿宋_GB2312"/>
          <w:b/>
          <w:sz w:val="32"/>
        </w:rPr>
        <w:t>2024年度一般公共预算财政拨款支出198.24万元，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增加2.80万元，增长1.43%，主要原因是：</w:t>
      </w:r>
      <w:r>
        <w:rPr>
          <w:rFonts w:hint="eastAsia" w:ascii="仿宋_GB2312" w:hAnsi="仿宋_GB2312" w:eastAsia="仿宋_GB2312"/>
          <w:b w:val="0"/>
          <w:sz w:val="32"/>
          <w:lang w:val="en-US" w:eastAsia="zh-CN"/>
        </w:rPr>
        <w:t>本年增加死亡人员</w:t>
      </w:r>
      <w:r>
        <w:rPr>
          <w:rFonts w:ascii="仿宋_GB2312" w:hAnsi="仿宋_GB2312" w:eastAsia="仿宋_GB2312"/>
          <w:b w:val="0"/>
          <w:sz w:val="32"/>
        </w:rPr>
        <w:t>丧葬费及抚恤金。</w:t>
      </w:r>
      <w:r>
        <w:rPr>
          <w:rFonts w:ascii="仿宋_GB2312" w:hAnsi="仿宋_GB2312" w:eastAsia="仿宋_GB2312"/>
          <w:b/>
          <w:sz w:val="32"/>
        </w:rPr>
        <w:t>与年初预算相比,</w:t>
      </w:r>
      <w:r>
        <w:rPr>
          <w:rFonts w:ascii="仿宋_GB2312" w:hAnsi="仿宋_GB2312" w:eastAsia="仿宋_GB2312"/>
          <w:b w:val="0"/>
          <w:sz w:val="32"/>
        </w:rPr>
        <w:t>年初预算数189.33万元，决算数198.24万元，预决算差异率4.71%，主要原因是：年中追加</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抚恤金</w:t>
      </w:r>
      <w:r>
        <w:rPr>
          <w:rFonts w:ascii="仿宋_GB2312" w:hAnsi="仿宋_GB2312" w:eastAsia="仿宋_GB2312"/>
          <w:b w:val="0"/>
          <w:sz w:val="32"/>
        </w:rPr>
        <w:t>，导致预决算存在差异。</w:t>
      </w:r>
    </w:p>
    <w:p w14:paraId="5587C5EB">
      <w:pPr>
        <w:spacing w:line="640" w:lineRule="exact"/>
        <w:ind w:firstLine="640"/>
        <w:jc w:val="both"/>
        <w:outlineLvl w:val="3"/>
      </w:pPr>
      <w:r>
        <w:rPr>
          <w:rFonts w:ascii="楷体_GB2312" w:hAnsi="楷体_GB2312" w:eastAsia="楷体_GB2312"/>
          <w:b/>
          <w:sz w:val="32"/>
        </w:rPr>
        <w:t>（二）一般公共预算财政拨款支出决算结构情况</w:t>
      </w:r>
    </w:p>
    <w:p w14:paraId="3E08C10A">
      <w:pPr>
        <w:spacing w:line="580" w:lineRule="exact"/>
        <w:ind w:firstLine="640"/>
        <w:jc w:val="both"/>
      </w:pPr>
      <w:r>
        <w:rPr>
          <w:rFonts w:ascii="仿宋_GB2312" w:hAnsi="仿宋_GB2312" w:eastAsia="仿宋_GB2312"/>
          <w:b w:val="0"/>
          <w:sz w:val="32"/>
        </w:rPr>
        <w:t>1.社会保障和就业支出(类)23.74万元,占11.98%。</w:t>
      </w:r>
    </w:p>
    <w:p w14:paraId="1D574F48">
      <w:pPr>
        <w:spacing w:line="580" w:lineRule="exact"/>
        <w:ind w:firstLine="640"/>
        <w:jc w:val="both"/>
      </w:pPr>
      <w:r>
        <w:rPr>
          <w:rFonts w:ascii="仿宋_GB2312" w:hAnsi="仿宋_GB2312" w:eastAsia="仿宋_GB2312"/>
          <w:b w:val="0"/>
          <w:sz w:val="32"/>
        </w:rPr>
        <w:t>2.卫生健康支出(类)4.87万元,占2.46%。</w:t>
      </w:r>
    </w:p>
    <w:p w14:paraId="501A801B">
      <w:pPr>
        <w:spacing w:line="580" w:lineRule="exact"/>
        <w:ind w:firstLine="640"/>
        <w:jc w:val="both"/>
      </w:pPr>
      <w:r>
        <w:rPr>
          <w:rFonts w:ascii="仿宋_GB2312" w:hAnsi="仿宋_GB2312" w:eastAsia="仿宋_GB2312"/>
          <w:b w:val="0"/>
          <w:sz w:val="32"/>
        </w:rPr>
        <w:t>3.城乡社区支出(类)157.00万元,占79.20%。</w:t>
      </w:r>
    </w:p>
    <w:p w14:paraId="72C8F8FA">
      <w:pPr>
        <w:spacing w:line="580" w:lineRule="exact"/>
        <w:ind w:firstLine="640"/>
        <w:jc w:val="both"/>
      </w:pPr>
      <w:r>
        <w:rPr>
          <w:rFonts w:ascii="仿宋_GB2312" w:hAnsi="仿宋_GB2312" w:eastAsia="仿宋_GB2312"/>
          <w:b w:val="0"/>
          <w:sz w:val="32"/>
        </w:rPr>
        <w:t>4.住房保障支出(类)12.63万元,占6.37%。</w:t>
      </w:r>
    </w:p>
    <w:p w14:paraId="29E77D94">
      <w:pPr>
        <w:spacing w:line="640" w:lineRule="exact"/>
        <w:ind w:firstLine="640"/>
        <w:jc w:val="both"/>
        <w:outlineLvl w:val="3"/>
      </w:pPr>
      <w:r>
        <w:rPr>
          <w:rFonts w:ascii="楷体_GB2312" w:hAnsi="楷体_GB2312" w:eastAsia="楷体_GB2312"/>
          <w:b/>
          <w:sz w:val="32"/>
        </w:rPr>
        <w:t>（三）一般公共预算财政拨款支出决算具体情况</w:t>
      </w:r>
    </w:p>
    <w:p w14:paraId="607831C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1.社会保障和就业支出(类)行政事业单位养老支出(款)事业单位离退休(项):支出决算数为8.03万元，比上年决算增加1.26万元，增长18.61%,主要原因是：本年增加退休人员基础绩效奖，退休费支出增加。</w:t>
      </w:r>
    </w:p>
    <w:p w14:paraId="2A2600F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15.71万元，比上年决算减少1.73万元，下降9.92%,主要原因是：本年在职人员减少，单位基本养老保险缴费较上年减少。</w:t>
      </w:r>
    </w:p>
    <w:p w14:paraId="37E8D696">
      <w:pPr>
        <w:spacing w:line="580" w:lineRule="exact"/>
        <w:ind w:firstLine="640"/>
        <w:jc w:val="both"/>
      </w:pPr>
      <w:r>
        <w:rPr>
          <w:rFonts w:ascii="仿宋_GB2312" w:hAnsi="仿宋_GB2312" w:eastAsia="仿宋_GB2312"/>
          <w:b w:val="0"/>
          <w:sz w:val="32"/>
        </w:rPr>
        <w:t>3.卫生健康支出(类)行政事业单位医疗(款)事业单位医疗(项):支出决算数为4.87万元，比上年决算减少2.32万元，下降32.27%,主要原因是：本年在职人员减少，事业单位医疗支出较上年减少。</w:t>
      </w:r>
    </w:p>
    <w:p w14:paraId="62CA5337">
      <w:pPr>
        <w:spacing w:line="580" w:lineRule="exact"/>
        <w:ind w:firstLine="640"/>
        <w:jc w:val="both"/>
      </w:pPr>
      <w:r>
        <w:rPr>
          <w:rFonts w:ascii="仿宋_GB2312" w:hAnsi="仿宋_GB2312" w:eastAsia="仿宋_GB2312"/>
          <w:b w:val="0"/>
          <w:sz w:val="32"/>
        </w:rPr>
        <w:t>4.城乡社区支出(类)城乡社区管理事务(款)其他城乡社区管理事务支出(项):支出决算数为142.79万元，比上年决算减少6.44万元，下降4.32%,主要原因是：本年在职人员减少、较上年减少2023年4月艰边贴调资补发。</w:t>
      </w:r>
    </w:p>
    <w:p w14:paraId="52E3B235">
      <w:pPr>
        <w:spacing w:line="580" w:lineRule="exact"/>
        <w:ind w:firstLine="640"/>
        <w:jc w:val="both"/>
      </w:pPr>
      <w:r>
        <w:rPr>
          <w:rFonts w:ascii="仿宋_GB2312" w:hAnsi="仿宋_GB2312" w:eastAsia="仿宋_GB2312"/>
          <w:b w:val="0"/>
          <w:sz w:val="32"/>
        </w:rPr>
        <w:t>5.城乡社区支出(类)城乡社区公共设施(款)其他城乡社区公共设施支出(项):支出决算数为14.22万元，比上年决算增加14.22万元，增长100.00%,主要原因是：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卡得尔阿吉·吾甫尔丧葬费及抚恤金。</w:t>
      </w:r>
    </w:p>
    <w:p w14:paraId="25461BF6">
      <w:pPr>
        <w:spacing w:line="580" w:lineRule="exact"/>
        <w:ind w:firstLine="640"/>
        <w:jc w:val="both"/>
      </w:pPr>
      <w:r>
        <w:rPr>
          <w:rFonts w:ascii="仿宋_GB2312" w:hAnsi="仿宋_GB2312" w:eastAsia="仿宋_GB2312"/>
          <w:b w:val="0"/>
          <w:sz w:val="32"/>
        </w:rPr>
        <w:t>6.住房保障支出(类)住房改革支出(款)住房公积金(项):支出决算数为12.63万元，比上年决算减少2.17万元，下降14.66%,主要原因是：本年在职人员减少，住房公积金缴费较上年减少。</w:t>
      </w:r>
    </w:p>
    <w:p w14:paraId="51A2CF24">
      <w:pPr>
        <w:spacing w:line="640" w:lineRule="exact"/>
        <w:ind w:firstLine="640"/>
        <w:jc w:val="both"/>
        <w:outlineLvl w:val="2"/>
      </w:pPr>
      <w:r>
        <w:rPr>
          <w:rFonts w:ascii="黑体" w:hAnsi="黑体" w:eastAsia="黑体"/>
          <w:sz w:val="32"/>
        </w:rPr>
        <w:t>六、一般公共预算财政拨款基本支出决算情况说明</w:t>
      </w:r>
    </w:p>
    <w:p w14:paraId="4E6F04F8">
      <w:pPr>
        <w:spacing w:line="580" w:lineRule="exact"/>
        <w:ind w:firstLine="640"/>
        <w:jc w:val="both"/>
      </w:pPr>
      <w:r>
        <w:rPr>
          <w:rFonts w:ascii="仿宋_GB2312" w:hAnsi="仿宋_GB2312" w:eastAsia="仿宋_GB2312"/>
          <w:b w:val="0"/>
          <w:sz w:val="32"/>
        </w:rPr>
        <w:t>2024年度一般公共预算财政拨款基本支出196.74万元，其中：</w:t>
      </w:r>
      <w:r>
        <w:rPr>
          <w:rFonts w:ascii="仿宋_GB2312" w:hAnsi="仿宋_GB2312" w:eastAsia="仿宋_GB2312"/>
          <w:b/>
          <w:sz w:val="32"/>
        </w:rPr>
        <w:t>人员经费195.26万元，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w:t>
      </w:r>
    </w:p>
    <w:p w14:paraId="49857206">
      <w:pPr>
        <w:spacing w:line="580" w:lineRule="exact"/>
        <w:ind w:firstLine="640"/>
        <w:jc w:val="both"/>
      </w:pPr>
      <w:r>
        <w:rPr>
          <w:rFonts w:ascii="仿宋_GB2312" w:hAnsi="仿宋_GB2312" w:eastAsia="仿宋_GB2312"/>
          <w:b/>
          <w:sz w:val="32"/>
        </w:rPr>
        <w:t>公用经费1.48万元，</w:t>
      </w:r>
      <w:r>
        <w:rPr>
          <w:rFonts w:ascii="仿宋_GB2312" w:hAnsi="仿宋_GB2312" w:eastAsia="仿宋_GB2312"/>
          <w:b w:val="0"/>
          <w:sz w:val="32"/>
        </w:rPr>
        <w:t>包括：办公费、差旅费。</w:t>
      </w:r>
    </w:p>
    <w:p w14:paraId="7C74A99D">
      <w:pPr>
        <w:spacing w:line="640" w:lineRule="exact"/>
        <w:ind w:firstLine="640"/>
        <w:jc w:val="both"/>
        <w:outlineLvl w:val="2"/>
      </w:pPr>
      <w:r>
        <w:rPr>
          <w:rFonts w:ascii="黑体" w:hAnsi="黑体" w:eastAsia="黑体"/>
          <w:sz w:val="32"/>
        </w:rPr>
        <w:t>七、政府性基金预算财政拨款收入支出决算情况说明</w:t>
      </w:r>
    </w:p>
    <w:p w14:paraId="041CC4D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9B96D7">
      <w:pPr>
        <w:spacing w:line="640" w:lineRule="exact"/>
        <w:ind w:firstLine="640"/>
        <w:jc w:val="both"/>
        <w:outlineLvl w:val="2"/>
      </w:pPr>
      <w:r>
        <w:rPr>
          <w:rFonts w:ascii="黑体" w:hAnsi="黑体" w:eastAsia="黑体"/>
          <w:sz w:val="32"/>
        </w:rPr>
        <w:t>八、国有资本经营预算财政拨款收入支出决算情况说明</w:t>
      </w:r>
    </w:p>
    <w:p w14:paraId="75F5C18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5B1AF8E">
      <w:pPr>
        <w:spacing w:line="640" w:lineRule="exact"/>
        <w:ind w:firstLine="640"/>
        <w:jc w:val="both"/>
        <w:outlineLvl w:val="2"/>
      </w:pPr>
      <w:r>
        <w:rPr>
          <w:rFonts w:ascii="黑体" w:hAnsi="黑体" w:eastAsia="黑体"/>
          <w:sz w:val="32"/>
        </w:rPr>
        <w:t>九、财政拨款“三公”经费支出决算情况说明</w:t>
      </w:r>
    </w:p>
    <w:p w14:paraId="642D80C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1ECD206">
      <w:pPr>
        <w:spacing w:line="580" w:lineRule="exact"/>
        <w:ind w:firstLine="640"/>
        <w:jc w:val="both"/>
      </w:pPr>
      <w:r>
        <w:rPr>
          <w:rFonts w:ascii="仿宋_GB2312" w:hAnsi="仿宋_GB2312" w:eastAsia="仿宋_GB2312"/>
          <w:b/>
          <w:sz w:val="32"/>
        </w:rPr>
        <w:t>具体情况如下：</w:t>
      </w:r>
    </w:p>
    <w:p w14:paraId="0E6F555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19CC6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阿图什市住房和城乡建设局经费保障。</w:t>
      </w:r>
    </w:p>
    <w:p w14:paraId="5757F56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E7973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964693D">
      <w:pPr>
        <w:spacing w:line="640" w:lineRule="exact"/>
        <w:ind w:firstLine="640"/>
        <w:jc w:val="both"/>
        <w:outlineLvl w:val="2"/>
      </w:pPr>
      <w:bookmarkStart w:id="0" w:name="_GoBack"/>
      <w:bookmarkEnd w:id="0"/>
      <w:r>
        <w:rPr>
          <w:rFonts w:ascii="黑体" w:hAnsi="黑体" w:eastAsia="黑体"/>
          <w:sz w:val="32"/>
        </w:rPr>
        <w:t>十、其他重要事项的情况说明</w:t>
      </w:r>
    </w:p>
    <w:p w14:paraId="623AAB23">
      <w:pPr>
        <w:spacing w:line="640" w:lineRule="exact"/>
        <w:ind w:firstLine="640"/>
        <w:jc w:val="both"/>
        <w:outlineLvl w:val="3"/>
      </w:pPr>
      <w:r>
        <w:rPr>
          <w:rFonts w:ascii="楷体_GB2312" w:hAnsi="楷体_GB2312" w:eastAsia="楷体_GB2312"/>
          <w:b/>
          <w:sz w:val="32"/>
        </w:rPr>
        <w:t>（一）机关运行经费及公用经费支出情况</w:t>
      </w:r>
    </w:p>
    <w:p w14:paraId="5B8FEAFD">
      <w:pPr>
        <w:spacing w:line="580" w:lineRule="exact"/>
        <w:ind w:firstLine="640"/>
        <w:jc w:val="both"/>
      </w:pPr>
      <w:r>
        <w:rPr>
          <w:rFonts w:ascii="仿宋_GB2312" w:hAnsi="仿宋_GB2312" w:eastAsia="仿宋_GB2312"/>
          <w:b w:val="0"/>
          <w:sz w:val="32"/>
        </w:rPr>
        <w:t>2024年度阿图什市房地产服务中心（事业单位）公用经费支出1.48万元，比上年减少1.48万元，下降50.00%，主要原因是：严格控制公用经费，合理节约办公用品，减少不必要开支。</w:t>
      </w:r>
    </w:p>
    <w:p w14:paraId="20D2ED5A">
      <w:pPr>
        <w:spacing w:line="640" w:lineRule="exact"/>
        <w:ind w:firstLine="640"/>
        <w:jc w:val="both"/>
        <w:outlineLvl w:val="3"/>
      </w:pPr>
      <w:r>
        <w:rPr>
          <w:rFonts w:ascii="楷体_GB2312" w:hAnsi="楷体_GB2312" w:eastAsia="楷体_GB2312"/>
          <w:b/>
          <w:sz w:val="32"/>
        </w:rPr>
        <w:t>（二）政府采购情况</w:t>
      </w:r>
    </w:p>
    <w:p w14:paraId="33AF7F32">
      <w:pPr>
        <w:spacing w:line="580" w:lineRule="exact"/>
        <w:ind w:firstLine="640"/>
        <w:jc w:val="both"/>
      </w:pPr>
      <w:r>
        <w:rPr>
          <w:rFonts w:ascii="仿宋_GB2312" w:hAnsi="仿宋_GB2312" w:eastAsia="仿宋_GB2312"/>
          <w:b w:val="0"/>
          <w:sz w:val="32"/>
        </w:rPr>
        <w:t>2024年度政府采购支出总额1.38万元，其中：政府采购货物支出1.38万元、政府采购工程支出0.00万元、政府采购服务支出0.00万元。</w:t>
      </w:r>
    </w:p>
    <w:p w14:paraId="6B30AECB">
      <w:pPr>
        <w:spacing w:line="580" w:lineRule="exact"/>
        <w:ind w:firstLine="640"/>
        <w:jc w:val="both"/>
      </w:pPr>
      <w:r>
        <w:rPr>
          <w:rFonts w:ascii="仿宋_GB2312" w:hAnsi="仿宋_GB2312" w:eastAsia="仿宋_GB2312"/>
          <w:b w:val="0"/>
          <w:sz w:val="32"/>
        </w:rPr>
        <w:t>授予中小企业合同金额1.38万元，占政府采购支出总额的100.00%，其中：授予小微企业合同金额0.72万元，占政府采购支出总额的52.17%。</w:t>
      </w:r>
    </w:p>
    <w:p w14:paraId="67511D35">
      <w:pPr>
        <w:spacing w:line="640" w:lineRule="exact"/>
        <w:ind w:firstLine="640"/>
        <w:jc w:val="both"/>
        <w:outlineLvl w:val="3"/>
      </w:pPr>
      <w:r>
        <w:rPr>
          <w:rFonts w:ascii="楷体_GB2312" w:hAnsi="楷体_GB2312" w:eastAsia="楷体_GB2312"/>
          <w:b/>
          <w:sz w:val="32"/>
        </w:rPr>
        <w:t>（三）国有资产占用情况说明</w:t>
      </w:r>
    </w:p>
    <w:p w14:paraId="5B940A1E">
      <w:pPr>
        <w:spacing w:line="580" w:lineRule="exact"/>
        <w:ind w:firstLine="640"/>
        <w:jc w:val="both"/>
      </w:pPr>
      <w:r>
        <w:rPr>
          <w:rFonts w:ascii="仿宋_GB2312" w:hAnsi="仿宋_GB2312" w:eastAsia="仿宋_GB2312"/>
          <w:b w:val="0"/>
          <w:sz w:val="32"/>
        </w:rPr>
        <w:t>截至2024年12月31日，房屋0.00平方米，价值0.00万元。车辆1辆，价值7.35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4D0BF68">
      <w:pPr>
        <w:spacing w:line="640" w:lineRule="exact"/>
        <w:ind w:firstLine="640"/>
        <w:jc w:val="both"/>
        <w:outlineLvl w:val="2"/>
      </w:pPr>
      <w:r>
        <w:rPr>
          <w:rFonts w:ascii="黑体" w:hAnsi="黑体" w:eastAsia="黑体"/>
          <w:sz w:val="32"/>
        </w:rPr>
        <w:t>十一、预算绩效的情况说明</w:t>
      </w:r>
    </w:p>
    <w:p w14:paraId="38C733E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198.24万元，实际执行总额198.24万元；预算绩效评价项目1个，全年预算数1.50万元，全年执行数1.50万元。预算绩效管理取得的成效：通过建立“预算编制有目标、预算执行有监控、预算完成有评价、评价结果有应用”的闭环管理体系，有效遏制了资金使用中的浪费、闲置等问题，推动资金向重点领域、民生项目倾斜，确保财政资金“花在刀刃上”，单位履职效能与资金投入的匹配度明显提高。发现的问题及原因：一是绩效指标的明确性、可衡量性、相关性还需进一步提升；二是预算精细化管理还需完善，预算编制管理水平仍有进一步提升的空间。下一步改进措施：压实部门协同：打破“财务部门单打独斗”的局面，明确业务部门为绩效管理第一责任主体，要求业务部门全程参与目标设定、执行监控、评价反馈，实现“业务工作与绩效管理同部署、同推进”。具体附整体支出绩效自评表，项目支出绩效自评表和评价报告。</w:t>
      </w:r>
    </w:p>
    <w:p w14:paraId="6689400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45196F1">
        <w:tblPrEx>
          <w:tblCellMar>
            <w:top w:w="0" w:type="dxa"/>
            <w:left w:w="108" w:type="dxa"/>
            <w:bottom w:w="0" w:type="dxa"/>
            <w:right w:w="108" w:type="dxa"/>
          </w:tblCellMar>
        </w:tblPrEx>
        <w:tc>
          <w:tcPr>
            <w:tcW w:w="8840" w:type="dxa"/>
            <w:gridSpan w:val="8"/>
            <w:vAlign w:val="center"/>
          </w:tcPr>
          <w:p w14:paraId="65791409">
            <w:pPr>
              <w:jc w:val="center"/>
            </w:pPr>
            <w:r>
              <w:rPr>
                <w:rFonts w:ascii="宋体" w:hAnsi="宋体" w:eastAsia="宋体"/>
                <w:sz w:val="24"/>
              </w:rPr>
              <w:t>单位整体支出绩效自评表</w:t>
            </w:r>
          </w:p>
        </w:tc>
      </w:tr>
      <w:tr w14:paraId="58FD2FC5">
        <w:tblPrEx>
          <w:tblCellMar>
            <w:top w:w="0" w:type="dxa"/>
            <w:left w:w="108" w:type="dxa"/>
            <w:bottom w:w="0" w:type="dxa"/>
            <w:right w:w="108" w:type="dxa"/>
          </w:tblCellMar>
        </w:tblPrEx>
        <w:tc>
          <w:tcPr>
            <w:tcW w:w="8840" w:type="dxa"/>
            <w:gridSpan w:val="8"/>
            <w:vAlign w:val="center"/>
          </w:tcPr>
          <w:p w14:paraId="0F147C08">
            <w:pPr>
              <w:jc w:val="center"/>
            </w:pPr>
            <w:r>
              <w:rPr>
                <w:rFonts w:ascii="宋体" w:hAnsi="宋体" w:eastAsia="宋体"/>
                <w:sz w:val="24"/>
              </w:rPr>
              <w:t>（2024年度）</w:t>
            </w:r>
          </w:p>
        </w:tc>
      </w:tr>
      <w:tr w14:paraId="62B14A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23D8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994E1">
            <w:pPr>
              <w:jc w:val="center"/>
            </w:pPr>
            <w:r>
              <w:rPr>
                <w:rFonts w:ascii="宋体" w:hAnsi="宋体" w:eastAsia="宋体"/>
                <w:sz w:val="16"/>
              </w:rPr>
              <w:t>阿图什市房地产服务中心</w:t>
            </w:r>
          </w:p>
        </w:tc>
      </w:tr>
      <w:tr w14:paraId="6F2265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7D7A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6D92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6616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0E98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597B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47C1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1201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515EA">
            <w:pPr>
              <w:jc w:val="center"/>
            </w:pPr>
            <w:r>
              <w:rPr>
                <w:rFonts w:ascii="宋体" w:hAnsi="宋体" w:eastAsia="宋体"/>
                <w:sz w:val="16"/>
              </w:rPr>
              <w:t>得分</w:t>
            </w:r>
          </w:p>
        </w:tc>
      </w:tr>
      <w:tr w14:paraId="2B234D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1EE0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864F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4A76A">
            <w:pPr>
              <w:jc w:val="center"/>
            </w:pPr>
            <w:r>
              <w:rPr>
                <w:rFonts w:ascii="宋体" w:hAnsi="宋体" w:eastAsia="宋体"/>
                <w:sz w:val="16"/>
              </w:rPr>
              <w:t>189.32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72DA9">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015AE">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255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7E9F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151B2">
            <w:pPr>
              <w:jc w:val="center"/>
              <w:rPr>
                <w:rFonts w:hint="default" w:eastAsia="宋体"/>
                <w:lang w:val="en-US" w:eastAsia="zh-CN"/>
              </w:rPr>
            </w:pPr>
            <w:r>
              <w:rPr>
                <w:rFonts w:hint="eastAsia" w:ascii="宋体" w:hAnsi="宋体"/>
                <w:sz w:val="16"/>
                <w:lang w:val="en-US" w:eastAsia="zh-CN"/>
              </w:rPr>
              <w:t>10</w:t>
            </w:r>
          </w:p>
        </w:tc>
      </w:tr>
      <w:tr w14:paraId="60DB54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27EF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9601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9A3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55E7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537D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D52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0724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9424D">
            <w:pPr>
              <w:jc w:val="center"/>
            </w:pPr>
            <w:r>
              <w:rPr>
                <w:rFonts w:ascii="宋体" w:hAnsi="宋体" w:eastAsia="宋体"/>
                <w:sz w:val="16"/>
              </w:rPr>
              <w:t>—</w:t>
            </w:r>
          </w:p>
        </w:tc>
      </w:tr>
      <w:tr w14:paraId="4E017E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6699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56B3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5F498">
            <w:pPr>
              <w:jc w:val="center"/>
            </w:pPr>
            <w:r>
              <w:rPr>
                <w:rFonts w:ascii="宋体" w:hAnsi="宋体" w:eastAsia="宋体"/>
                <w:sz w:val="16"/>
              </w:rPr>
              <w:t>189.32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8A781">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D0C3C">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FB2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9442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0312A">
            <w:pPr>
              <w:jc w:val="center"/>
            </w:pPr>
            <w:r>
              <w:rPr>
                <w:rFonts w:ascii="宋体" w:hAnsi="宋体" w:eastAsia="宋体"/>
                <w:sz w:val="16"/>
              </w:rPr>
              <w:t>—</w:t>
            </w:r>
          </w:p>
        </w:tc>
      </w:tr>
      <w:tr w14:paraId="4601FD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AACE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5BD6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00BD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E95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310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DAD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820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0A06E">
            <w:pPr>
              <w:jc w:val="center"/>
            </w:pPr>
            <w:r>
              <w:rPr>
                <w:rFonts w:ascii="宋体" w:hAnsi="宋体" w:eastAsia="宋体"/>
                <w:sz w:val="16"/>
              </w:rPr>
              <w:t>—</w:t>
            </w:r>
          </w:p>
        </w:tc>
      </w:tr>
      <w:tr w14:paraId="571EED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E6D1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9BA44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961871">
            <w:pPr>
              <w:jc w:val="center"/>
            </w:pPr>
            <w:r>
              <w:rPr>
                <w:rFonts w:ascii="宋体" w:hAnsi="宋体" w:eastAsia="宋体"/>
                <w:sz w:val="16"/>
              </w:rPr>
              <w:t>实际完成情况</w:t>
            </w:r>
          </w:p>
        </w:tc>
      </w:tr>
      <w:tr w14:paraId="4A4524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F48A6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AB4110">
            <w:pPr>
              <w:jc w:val="both"/>
            </w:pPr>
            <w:r>
              <w:rPr>
                <w:rFonts w:ascii="宋体" w:hAnsi="宋体" w:eastAsia="宋体"/>
                <w:sz w:val="16"/>
              </w:rPr>
              <w:t>单位基本职能：1.贯彻执行国家、自治区、自治州有关房产法律、法规和方针、政策，拟定全市房产管理地方性文件、实施办法，并组织全面实施。2.负责全市房地产开发、交易市场的服务管理</w:t>
            </w:r>
            <w:r>
              <w:rPr>
                <w:rFonts w:hint="eastAsia" w:ascii="宋体" w:hAnsi="宋体"/>
                <w:sz w:val="16"/>
                <w:lang w:eastAsia="zh-CN"/>
              </w:rPr>
              <w:t>；</w:t>
            </w:r>
            <w:r>
              <w:rPr>
                <w:rFonts w:ascii="宋体" w:hAnsi="宋体" w:eastAsia="宋体"/>
                <w:sz w:val="16"/>
              </w:rPr>
              <w:t>负责整顿、规范</w:t>
            </w:r>
            <w:r>
              <w:rPr>
                <w:rFonts w:hint="eastAsia" w:ascii="宋体" w:hAnsi="宋体"/>
                <w:sz w:val="16"/>
                <w:lang w:eastAsia="zh-CN"/>
              </w:rPr>
              <w:t>房地</w:t>
            </w:r>
            <w:r>
              <w:rPr>
                <w:rFonts w:ascii="宋体" w:hAnsi="宋体" w:eastAsia="宋体"/>
                <w:sz w:val="16"/>
              </w:rPr>
              <w:t>产市场</w:t>
            </w:r>
            <w:r>
              <w:rPr>
                <w:rFonts w:hint="eastAsia" w:ascii="宋体" w:hAnsi="宋体"/>
                <w:sz w:val="16"/>
                <w:lang w:eastAsia="zh-CN"/>
              </w:rPr>
              <w:t>；</w:t>
            </w:r>
            <w:r>
              <w:rPr>
                <w:rFonts w:ascii="宋体" w:hAnsi="宋体" w:eastAsia="宋体"/>
                <w:sz w:val="16"/>
              </w:rPr>
              <w:t>负责房地产中介服务指导与管理。3.负责全市房屋产权产籍、抵押等管理工作、房地产评估、测绘服务管理、商品房预</w:t>
            </w:r>
            <w:r>
              <w:rPr>
                <w:rFonts w:hint="eastAsia" w:ascii="宋体" w:hAnsi="宋体"/>
                <w:sz w:val="16"/>
                <w:lang w:eastAsia="zh-CN"/>
              </w:rPr>
              <w:t>（</w:t>
            </w:r>
            <w:r>
              <w:rPr>
                <w:rFonts w:ascii="宋体" w:hAnsi="宋体" w:eastAsia="宋体"/>
                <w:sz w:val="16"/>
              </w:rPr>
              <w:t>销)售管理和房屋网签备案。4.负责城市物业管理工作的协调、指导和管理物业企业</w:t>
            </w:r>
            <w:r>
              <w:rPr>
                <w:rFonts w:hint="eastAsia" w:ascii="宋体" w:hAnsi="宋体"/>
                <w:sz w:val="16"/>
                <w:lang w:eastAsia="zh-CN"/>
              </w:rPr>
              <w:t>；</w:t>
            </w:r>
            <w:r>
              <w:rPr>
                <w:rFonts w:ascii="宋体" w:hAnsi="宋体" w:eastAsia="宋体"/>
                <w:sz w:val="16"/>
              </w:rPr>
              <w:t>负责住宅专项维修资金的归集管理并监督使用。5承办市人民政府交办的其他事项。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机构设置及人员配置：无下属预算单位，下设3个科室，编制数10，实有人数16人，在职10人，退休6人。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1.进一步规范房地产市场秩序，2.进一步探索物业管理新模式，3.进一步做好信访维稳工作，4.进一步开展机关效能和作风建设。保障部门在职10人，退休6人工资及各项福利正常发放，保证部门正常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FEFCC4">
            <w:pPr>
              <w:jc w:val="both"/>
            </w:pPr>
            <w:r>
              <w:rPr>
                <w:rFonts w:ascii="宋体" w:hAnsi="宋体" w:eastAsia="宋体"/>
                <w:sz w:val="16"/>
              </w:rPr>
              <w:t>本单位共计支出198.24万元，用于保障部门在职10人，退休6人的工资福利、各项补助正常发放及部门单位正常运转，单位预算项目根据年初计划均已完成，规范房地产市场秩序，探索物业管理新模式，做好信访维稳工作，开展机关效能和作风建设，年度任务中完成保障属地小区物业数量52个，保障单位正常运转期限12个月，保障单位预算项目1个，保障公务用车数量1辆等目标。</w:t>
            </w:r>
          </w:p>
        </w:tc>
      </w:tr>
      <w:tr w14:paraId="0FDD36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D5B6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3DE9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A3EE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1754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6EEB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4DA3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E55D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48103">
            <w:pPr>
              <w:jc w:val="center"/>
            </w:pPr>
            <w:r>
              <w:rPr>
                <w:rFonts w:ascii="宋体" w:hAnsi="宋体" w:eastAsia="宋体"/>
                <w:sz w:val="16"/>
              </w:rPr>
              <w:t>得分</w:t>
            </w:r>
          </w:p>
        </w:tc>
      </w:tr>
      <w:tr w14:paraId="3C2DD9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A9035">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2223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B7D4E">
            <w:pPr>
              <w:jc w:val="center"/>
            </w:pPr>
            <w:r>
              <w:rPr>
                <w:rFonts w:ascii="宋体" w:hAnsi="宋体" w:eastAsia="宋体"/>
                <w:sz w:val="16"/>
              </w:rPr>
              <w:t>房地产监督管理覆盖率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D98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EB8E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22A5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4A7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D66A7">
            <w:pPr>
              <w:jc w:val="center"/>
            </w:pPr>
            <w:r>
              <w:rPr>
                <w:rFonts w:ascii="宋体" w:hAnsi="宋体" w:eastAsia="宋体"/>
                <w:sz w:val="16"/>
              </w:rPr>
              <w:t>18</w:t>
            </w:r>
          </w:p>
        </w:tc>
      </w:tr>
      <w:tr w14:paraId="7F3BB29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FC94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2A11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6D4A8">
            <w:pPr>
              <w:jc w:val="center"/>
            </w:pPr>
            <w:r>
              <w:rPr>
                <w:rFonts w:ascii="宋体" w:hAnsi="宋体" w:eastAsia="宋体"/>
                <w:sz w:val="16"/>
              </w:rPr>
              <w:t>保障属地小区物业数量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A697D">
            <w:pPr>
              <w:jc w:val="center"/>
            </w:pPr>
            <w:r>
              <w:rPr>
                <w:rFonts w:ascii="宋体" w:hAnsi="宋体" w:eastAsia="宋体"/>
                <w:sz w:val="16"/>
              </w:rPr>
              <w:t>&gt;=52个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2A9F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86C0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14FAD">
            <w:pPr>
              <w:jc w:val="center"/>
            </w:pPr>
            <w:r>
              <w:rPr>
                <w:rFonts w:ascii="宋体" w:hAnsi="宋体" w:eastAsia="宋体"/>
                <w:sz w:val="16"/>
              </w:rPr>
              <w:t>52个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16231">
            <w:pPr>
              <w:jc w:val="center"/>
            </w:pPr>
            <w:r>
              <w:rPr>
                <w:rFonts w:ascii="宋体" w:hAnsi="宋体" w:eastAsia="宋体"/>
                <w:sz w:val="16"/>
              </w:rPr>
              <w:t>18</w:t>
            </w:r>
          </w:p>
        </w:tc>
      </w:tr>
      <w:tr w14:paraId="5D632F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FD9C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0091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7F27A">
            <w:pPr>
              <w:jc w:val="center"/>
            </w:pPr>
            <w:r>
              <w:rPr>
                <w:rFonts w:ascii="宋体" w:hAnsi="宋体" w:eastAsia="宋体"/>
                <w:sz w:val="16"/>
              </w:rPr>
              <w:t>保障单位正常运转期限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6833F">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B408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FB0C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AE480">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24F4B">
            <w:pPr>
              <w:jc w:val="center"/>
            </w:pPr>
            <w:r>
              <w:rPr>
                <w:rFonts w:ascii="宋体" w:hAnsi="宋体" w:eastAsia="宋体"/>
                <w:sz w:val="16"/>
              </w:rPr>
              <w:t>18</w:t>
            </w:r>
          </w:p>
        </w:tc>
      </w:tr>
      <w:tr w14:paraId="4A5966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B0D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6179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50645">
            <w:pPr>
              <w:jc w:val="center"/>
            </w:pPr>
            <w:r>
              <w:rPr>
                <w:rFonts w:ascii="宋体" w:hAnsi="宋体" w:eastAsia="宋体"/>
                <w:sz w:val="16"/>
              </w:rPr>
              <w:t>保障单位预算项目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BAFDF">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22DA3">
            <w:pPr>
              <w:jc w:val="center"/>
            </w:pPr>
            <w:r>
              <w:rPr>
                <w:rFonts w:ascii="宋体" w:hAnsi="宋体" w:eastAsia="宋体"/>
                <w:sz w:val="16"/>
              </w:rPr>
              <w:t>项目实施方案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F769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C0112">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31942">
            <w:pPr>
              <w:jc w:val="center"/>
            </w:pPr>
            <w:r>
              <w:rPr>
                <w:rFonts w:ascii="宋体" w:hAnsi="宋体" w:eastAsia="宋体"/>
                <w:sz w:val="16"/>
              </w:rPr>
              <w:t>9</w:t>
            </w:r>
          </w:p>
        </w:tc>
      </w:tr>
      <w:tr w14:paraId="0896AE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AC18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D2AF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77413">
            <w:pPr>
              <w:jc w:val="center"/>
            </w:pPr>
            <w:r>
              <w:rPr>
                <w:rFonts w:ascii="宋体" w:hAnsi="宋体" w:eastAsia="宋体"/>
                <w:sz w:val="16"/>
              </w:rPr>
              <w:t>保障公务用车数量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A8D77">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F4F5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7AD8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11F56">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F816A">
            <w:pPr>
              <w:jc w:val="center"/>
            </w:pPr>
            <w:r>
              <w:rPr>
                <w:rFonts w:ascii="宋体" w:hAnsi="宋体" w:eastAsia="宋体"/>
                <w:sz w:val="16"/>
              </w:rPr>
              <w:t>18</w:t>
            </w:r>
          </w:p>
        </w:tc>
      </w:tr>
    </w:tbl>
    <w:p w14:paraId="3904C8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BEAB35E">
        <w:tblPrEx>
          <w:tblCellMar>
            <w:top w:w="0" w:type="dxa"/>
            <w:left w:w="108" w:type="dxa"/>
            <w:bottom w:w="0" w:type="dxa"/>
            <w:right w:w="108" w:type="dxa"/>
          </w:tblCellMar>
        </w:tblPrEx>
        <w:tc>
          <w:tcPr>
            <w:tcW w:w="8848" w:type="dxa"/>
            <w:gridSpan w:val="14"/>
            <w:vAlign w:val="center"/>
          </w:tcPr>
          <w:p w14:paraId="136C07D3">
            <w:pPr>
              <w:jc w:val="center"/>
            </w:pPr>
            <w:r>
              <w:rPr>
                <w:rFonts w:ascii="宋体" w:hAnsi="宋体" w:eastAsia="宋体"/>
                <w:sz w:val="24"/>
              </w:rPr>
              <w:t>项目支出绩效自评表</w:t>
            </w:r>
          </w:p>
        </w:tc>
      </w:tr>
      <w:tr w14:paraId="69F92448">
        <w:tblPrEx>
          <w:tblCellMar>
            <w:top w:w="0" w:type="dxa"/>
            <w:left w:w="108" w:type="dxa"/>
            <w:bottom w:w="0" w:type="dxa"/>
            <w:right w:w="108" w:type="dxa"/>
          </w:tblCellMar>
        </w:tblPrEx>
        <w:tc>
          <w:tcPr>
            <w:tcW w:w="8848" w:type="dxa"/>
            <w:gridSpan w:val="14"/>
            <w:vAlign w:val="center"/>
          </w:tcPr>
          <w:p w14:paraId="15B92C1C">
            <w:pPr>
              <w:jc w:val="center"/>
            </w:pPr>
            <w:r>
              <w:rPr>
                <w:rFonts w:ascii="宋体" w:hAnsi="宋体" w:eastAsia="宋体"/>
                <w:sz w:val="24"/>
              </w:rPr>
              <w:t>(2024年度)</w:t>
            </w:r>
          </w:p>
        </w:tc>
      </w:tr>
      <w:tr w14:paraId="339A4A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C1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28DF6A">
            <w:pPr>
              <w:jc w:val="center"/>
            </w:pPr>
            <w:r>
              <w:rPr>
                <w:rFonts w:ascii="宋体" w:hAnsi="宋体" w:eastAsia="宋体"/>
                <w:sz w:val="16"/>
              </w:rPr>
              <w:t>2024年商品房网签备案专网使用费项目</w:t>
            </w:r>
          </w:p>
        </w:tc>
      </w:tr>
      <w:tr w14:paraId="4250D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45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B72F9">
            <w:pPr>
              <w:jc w:val="center"/>
            </w:pPr>
            <w:r>
              <w:rPr>
                <w:rFonts w:ascii="宋体" w:hAnsi="宋体" w:eastAsia="宋体"/>
                <w:sz w:val="16"/>
              </w:rPr>
              <w:t>阿图什市房地产服务中心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87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A94435">
            <w:pPr>
              <w:jc w:val="center"/>
            </w:pPr>
            <w:r>
              <w:rPr>
                <w:rFonts w:ascii="宋体" w:hAnsi="宋体" w:eastAsia="宋体"/>
                <w:sz w:val="16"/>
              </w:rPr>
              <w:t>阿图什市房地产服务中心</w:t>
            </w:r>
          </w:p>
        </w:tc>
      </w:tr>
      <w:tr w14:paraId="531C9E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BD2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7B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130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694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AD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431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DC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2A5F">
            <w:pPr>
              <w:jc w:val="center"/>
            </w:pPr>
            <w:r>
              <w:rPr>
                <w:rFonts w:ascii="宋体" w:hAnsi="宋体" w:eastAsia="宋体"/>
                <w:sz w:val="16"/>
              </w:rPr>
              <w:t>得分</w:t>
            </w:r>
          </w:p>
        </w:tc>
      </w:tr>
      <w:tr w14:paraId="39D1E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A2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49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ADEF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BB8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B037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FFB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F48B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7205">
            <w:pPr>
              <w:jc w:val="center"/>
            </w:pPr>
            <w:r>
              <w:rPr>
                <w:rFonts w:ascii="宋体" w:hAnsi="宋体" w:eastAsia="宋体"/>
                <w:sz w:val="16"/>
              </w:rPr>
              <w:t>10.00分</w:t>
            </w:r>
          </w:p>
        </w:tc>
      </w:tr>
      <w:tr w14:paraId="5B8FA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06B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B3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89422">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85EA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71C48">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113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BA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42C8">
            <w:pPr>
              <w:jc w:val="center"/>
            </w:pPr>
            <w:r>
              <w:rPr>
                <w:rFonts w:ascii="宋体" w:hAnsi="宋体" w:eastAsia="宋体"/>
                <w:sz w:val="16"/>
              </w:rPr>
              <w:t>—</w:t>
            </w:r>
          </w:p>
        </w:tc>
      </w:tr>
      <w:tr w14:paraId="355EF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2F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E9C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9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8E0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4CC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B8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6AB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717B">
            <w:pPr>
              <w:jc w:val="center"/>
            </w:pPr>
            <w:r>
              <w:rPr>
                <w:rFonts w:ascii="宋体" w:hAnsi="宋体" w:eastAsia="宋体"/>
                <w:sz w:val="16"/>
              </w:rPr>
              <w:t>—</w:t>
            </w:r>
          </w:p>
        </w:tc>
      </w:tr>
      <w:tr w14:paraId="45D5ED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9A1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470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C0715B">
            <w:pPr>
              <w:jc w:val="center"/>
            </w:pPr>
            <w:r>
              <w:rPr>
                <w:rFonts w:ascii="宋体" w:hAnsi="宋体" w:eastAsia="宋体"/>
                <w:sz w:val="16"/>
              </w:rPr>
              <w:t>实际完成情况</w:t>
            </w:r>
          </w:p>
        </w:tc>
      </w:tr>
      <w:tr w14:paraId="6663E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EF8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4076E">
            <w:pPr>
              <w:jc w:val="both"/>
            </w:pPr>
            <w:r>
              <w:rPr>
                <w:rFonts w:ascii="宋体" w:hAnsi="宋体" w:eastAsia="宋体"/>
                <w:sz w:val="16"/>
              </w:rPr>
              <w:t>根据《阿图什市房地产服务中心关于项目经费使用的会议纪要》实施项目，本项目总投资1.5万元，主要用于计划维护专网电缆线1条，缴纳12个月网费，提高工作效率及公众服务能力，更好地服务人民群众。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AD797">
            <w:pPr>
              <w:jc w:val="both"/>
            </w:pPr>
            <w:r>
              <w:rPr>
                <w:rFonts w:ascii="宋体" w:hAnsi="宋体" w:eastAsia="宋体"/>
                <w:sz w:val="16"/>
              </w:rPr>
              <w:t xml:space="preserve"> 本项目共计支出1.5万元，用于维护专网电缆线数量1条，缴纳网费时间12个月；通过实施本项目提高工作效率及公众服务能力，更好地服务人民群众。 </w:t>
            </w:r>
          </w:p>
        </w:tc>
      </w:tr>
      <w:tr w14:paraId="18FA6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BC6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04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B7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BC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43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4F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29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BE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92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DB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BB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4A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9ECE">
            <w:pPr>
              <w:jc w:val="center"/>
            </w:pPr>
            <w:r>
              <w:rPr>
                <w:rFonts w:ascii="宋体" w:hAnsi="宋体" w:eastAsia="宋体"/>
                <w:sz w:val="16"/>
              </w:rPr>
              <w:t>偏差原因分析及改进措施</w:t>
            </w:r>
          </w:p>
        </w:tc>
      </w:tr>
      <w:tr w14:paraId="06DBB7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7AE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A16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456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440C">
            <w:pPr>
              <w:jc w:val="center"/>
            </w:pPr>
            <w:r>
              <w:rPr>
                <w:rFonts w:ascii="宋体" w:hAnsi="宋体" w:eastAsia="宋体"/>
                <w:sz w:val="16"/>
              </w:rPr>
              <w:t>维护专网电缆线数量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9052">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A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9C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5E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5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7D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0DFB">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BF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C61BB">
            <w:pPr>
              <w:jc w:val="center"/>
            </w:pPr>
          </w:p>
        </w:tc>
      </w:tr>
      <w:tr w14:paraId="4281F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54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12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C7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B239">
            <w:pPr>
              <w:jc w:val="center"/>
            </w:pPr>
            <w:r>
              <w:rPr>
                <w:rFonts w:ascii="宋体" w:hAnsi="宋体" w:eastAsia="宋体"/>
                <w:sz w:val="16"/>
              </w:rPr>
              <w:t>缴纳网费时间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6991">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4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98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D6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6A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A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FB6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C4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9346">
            <w:pPr>
              <w:jc w:val="center"/>
            </w:pPr>
          </w:p>
        </w:tc>
      </w:tr>
      <w:tr w14:paraId="6D920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E2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A6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D5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ADC0">
            <w:pPr>
              <w:jc w:val="center"/>
            </w:pPr>
            <w:r>
              <w:rPr>
                <w:rFonts w:ascii="宋体" w:hAnsi="宋体" w:eastAsia="宋体"/>
                <w:sz w:val="16"/>
              </w:rPr>
              <w:t>网络故障率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3912">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B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3F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8A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4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E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52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4D1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CE7C">
            <w:pPr>
              <w:jc w:val="center"/>
            </w:pPr>
          </w:p>
        </w:tc>
      </w:tr>
      <w:tr w14:paraId="472F4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73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7EE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0E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5A4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F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96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3B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57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F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173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C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AB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E297">
            <w:pPr>
              <w:jc w:val="center"/>
            </w:pPr>
          </w:p>
        </w:tc>
      </w:tr>
      <w:tr w14:paraId="7EF2D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EB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B4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14D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00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5D5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C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C2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67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04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4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AE9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8A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E2D42">
            <w:pPr>
              <w:jc w:val="center"/>
            </w:pPr>
          </w:p>
        </w:tc>
      </w:tr>
      <w:tr w14:paraId="1DB72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A7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060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89C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949D">
            <w:pPr>
              <w:jc w:val="center"/>
            </w:pPr>
            <w:r>
              <w:rPr>
                <w:rFonts w:ascii="宋体" w:hAnsi="宋体" w:eastAsia="宋体"/>
                <w:sz w:val="16"/>
              </w:rPr>
              <w:t>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BEA7">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8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0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06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B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674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9F5A">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DC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C2ADE">
            <w:pPr>
              <w:jc w:val="center"/>
            </w:pPr>
          </w:p>
        </w:tc>
      </w:tr>
      <w:tr w14:paraId="43801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F1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61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8C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8FEE">
            <w:pPr>
              <w:jc w:val="center"/>
            </w:pPr>
            <w:r>
              <w:rPr>
                <w:rFonts w:ascii="宋体" w:hAnsi="宋体" w:eastAsia="宋体"/>
                <w:sz w:val="16"/>
              </w:rPr>
              <w:t>缴纳网费成本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7E98">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D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9F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94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0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BEC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0821">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D5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3F889">
            <w:pPr>
              <w:jc w:val="center"/>
            </w:pPr>
          </w:p>
        </w:tc>
      </w:tr>
      <w:tr w14:paraId="79187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52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DE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CE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5096">
            <w:pPr>
              <w:jc w:val="center"/>
            </w:pPr>
            <w:r>
              <w:rPr>
                <w:rFonts w:ascii="宋体" w:hAnsi="宋体" w:eastAsia="宋体"/>
                <w:sz w:val="16"/>
              </w:rPr>
              <w:t>提高工作效率及公众服务能力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684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7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CE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F2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E1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B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5D4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98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9D31">
            <w:pPr>
              <w:jc w:val="center"/>
            </w:pPr>
          </w:p>
        </w:tc>
      </w:tr>
      <w:tr w14:paraId="2464B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8C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FE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68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773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F0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2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F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B4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B9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13F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7B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48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ABD3">
            <w:pPr>
              <w:jc w:val="center"/>
            </w:pPr>
          </w:p>
        </w:tc>
      </w:tr>
      <w:tr w14:paraId="6913B8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0A2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97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D31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58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0275AE"/>
        </w:tc>
      </w:tr>
    </w:tbl>
    <w:p w14:paraId="67CB77DF">
      <w:r>
        <w:br w:type="page"/>
      </w:r>
    </w:p>
    <w:p w14:paraId="0495F7DF">
      <w:pPr>
        <w:spacing w:line="640" w:lineRule="exact"/>
        <w:ind w:firstLine="640"/>
        <w:jc w:val="both"/>
        <w:outlineLvl w:val="2"/>
      </w:pPr>
      <w:r>
        <w:rPr>
          <w:rFonts w:ascii="黑体" w:hAnsi="黑体" w:eastAsia="黑体"/>
          <w:sz w:val="32"/>
        </w:rPr>
        <w:t>十二、其他需说明的事项</w:t>
      </w:r>
    </w:p>
    <w:p w14:paraId="1CBE0444">
      <w:pPr>
        <w:spacing w:line="580" w:lineRule="exact"/>
        <w:ind w:firstLine="640"/>
        <w:jc w:val="both"/>
      </w:pPr>
      <w:r>
        <w:rPr>
          <w:rFonts w:ascii="仿宋_GB2312" w:hAnsi="仿宋_GB2312" w:eastAsia="仿宋_GB2312"/>
          <w:b w:val="0"/>
          <w:sz w:val="32"/>
        </w:rPr>
        <w:t>本单位无其他需说明的事项。</w:t>
      </w:r>
    </w:p>
    <w:p w14:paraId="28415798">
      <w:r>
        <w:br w:type="page"/>
      </w:r>
    </w:p>
    <w:p w14:paraId="32116D4E">
      <w:pPr>
        <w:spacing w:line="240" w:lineRule="auto"/>
        <w:jc w:val="center"/>
        <w:outlineLvl w:val="1"/>
      </w:pPr>
      <w:r>
        <w:rPr>
          <w:rFonts w:ascii="黑体" w:hAnsi="黑体" w:eastAsia="黑体"/>
          <w:sz w:val="32"/>
        </w:rPr>
        <w:t>第三部分 专业名词解释</w:t>
      </w:r>
    </w:p>
    <w:p w14:paraId="013B705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7C49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65DCF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AAAD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F45DF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33D37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307E4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05A57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25187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5AB89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F458B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81AD0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C1211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430A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798946">
      <w:r>
        <w:br w:type="page"/>
      </w:r>
    </w:p>
    <w:p w14:paraId="1F911144">
      <w:pPr>
        <w:spacing w:line="240" w:lineRule="auto"/>
        <w:jc w:val="center"/>
        <w:outlineLvl w:val="1"/>
      </w:pPr>
      <w:r>
        <w:rPr>
          <w:rFonts w:ascii="黑体" w:hAnsi="黑体" w:eastAsia="黑体"/>
          <w:sz w:val="32"/>
        </w:rPr>
        <w:t>第四部分 部门决算报表（见附表）</w:t>
      </w:r>
    </w:p>
    <w:p w14:paraId="3DF0B21E">
      <w:pPr>
        <w:spacing w:line="240" w:lineRule="auto"/>
        <w:ind w:firstLine="640"/>
        <w:jc w:val="both"/>
      </w:pPr>
      <w:r>
        <w:rPr>
          <w:rFonts w:ascii="仿宋_GB2312" w:hAnsi="仿宋_GB2312" w:eastAsia="仿宋_GB2312"/>
          <w:b w:val="0"/>
          <w:sz w:val="32"/>
        </w:rPr>
        <w:t>一、《收入支出决算总表》</w:t>
      </w:r>
    </w:p>
    <w:p w14:paraId="5BD8C6CC">
      <w:pPr>
        <w:spacing w:line="240" w:lineRule="auto"/>
        <w:ind w:firstLine="640"/>
        <w:jc w:val="both"/>
      </w:pPr>
      <w:r>
        <w:rPr>
          <w:rFonts w:ascii="仿宋_GB2312" w:hAnsi="仿宋_GB2312" w:eastAsia="仿宋_GB2312"/>
          <w:b w:val="0"/>
          <w:sz w:val="32"/>
        </w:rPr>
        <w:t>二、《收入决算表》</w:t>
      </w:r>
    </w:p>
    <w:p w14:paraId="3FD36CBD">
      <w:pPr>
        <w:spacing w:line="240" w:lineRule="auto"/>
        <w:ind w:firstLine="640"/>
        <w:jc w:val="both"/>
      </w:pPr>
      <w:r>
        <w:rPr>
          <w:rFonts w:ascii="仿宋_GB2312" w:hAnsi="仿宋_GB2312" w:eastAsia="仿宋_GB2312"/>
          <w:b w:val="0"/>
          <w:sz w:val="32"/>
        </w:rPr>
        <w:t>三、《支出决算表》</w:t>
      </w:r>
    </w:p>
    <w:p w14:paraId="39394CCE">
      <w:pPr>
        <w:spacing w:line="240" w:lineRule="auto"/>
        <w:ind w:firstLine="640"/>
        <w:jc w:val="both"/>
      </w:pPr>
      <w:r>
        <w:rPr>
          <w:rFonts w:ascii="仿宋_GB2312" w:hAnsi="仿宋_GB2312" w:eastAsia="仿宋_GB2312"/>
          <w:b w:val="0"/>
          <w:sz w:val="32"/>
        </w:rPr>
        <w:t>四、《财政拨款收入支出决算总表》</w:t>
      </w:r>
    </w:p>
    <w:p w14:paraId="5AC847E9">
      <w:pPr>
        <w:spacing w:line="240" w:lineRule="auto"/>
        <w:ind w:firstLine="640"/>
        <w:jc w:val="both"/>
      </w:pPr>
      <w:r>
        <w:rPr>
          <w:rFonts w:ascii="仿宋_GB2312" w:hAnsi="仿宋_GB2312" w:eastAsia="仿宋_GB2312"/>
          <w:b w:val="0"/>
          <w:sz w:val="32"/>
        </w:rPr>
        <w:t>五、《一般公共预算财政拨款支出决算表》</w:t>
      </w:r>
    </w:p>
    <w:p w14:paraId="51CEE0CF">
      <w:pPr>
        <w:spacing w:line="240" w:lineRule="auto"/>
        <w:ind w:firstLine="640"/>
        <w:jc w:val="both"/>
      </w:pPr>
      <w:r>
        <w:rPr>
          <w:rFonts w:ascii="仿宋_GB2312" w:hAnsi="仿宋_GB2312" w:eastAsia="仿宋_GB2312"/>
          <w:b w:val="0"/>
          <w:sz w:val="32"/>
        </w:rPr>
        <w:t>六、《一般公共预算财政拨款基本支出决算表》</w:t>
      </w:r>
    </w:p>
    <w:p w14:paraId="072D3DC8">
      <w:pPr>
        <w:spacing w:line="240" w:lineRule="auto"/>
        <w:ind w:firstLine="640"/>
        <w:jc w:val="both"/>
      </w:pPr>
      <w:r>
        <w:rPr>
          <w:rFonts w:ascii="仿宋_GB2312" w:hAnsi="仿宋_GB2312" w:eastAsia="仿宋_GB2312"/>
          <w:b w:val="0"/>
          <w:sz w:val="32"/>
        </w:rPr>
        <w:t>七、《政府性基金预算财政拨款收入支出决算表》</w:t>
      </w:r>
    </w:p>
    <w:p w14:paraId="2EE93C12">
      <w:pPr>
        <w:spacing w:line="240" w:lineRule="auto"/>
        <w:ind w:firstLine="640"/>
        <w:jc w:val="both"/>
      </w:pPr>
      <w:r>
        <w:rPr>
          <w:rFonts w:ascii="仿宋_GB2312" w:hAnsi="仿宋_GB2312" w:eastAsia="仿宋_GB2312"/>
          <w:b w:val="0"/>
          <w:sz w:val="32"/>
        </w:rPr>
        <w:t>八、《国有资本经营预算财政拨款收入支出决算表》</w:t>
      </w:r>
    </w:p>
    <w:p w14:paraId="5E22D28C">
      <w:pPr>
        <w:spacing w:line="240" w:lineRule="auto"/>
        <w:ind w:firstLine="640"/>
        <w:jc w:val="both"/>
      </w:pPr>
      <w:r>
        <w:rPr>
          <w:rFonts w:ascii="仿宋_GB2312" w:hAnsi="仿宋_GB2312" w:eastAsia="仿宋_GB2312"/>
          <w:b w:val="0"/>
          <w:sz w:val="32"/>
        </w:rPr>
        <w:t>九、《财政拨款“三公”经费支出决算表》</w:t>
      </w:r>
    </w:p>
    <w:p w14:paraId="39D25DC2">
      <w:pPr>
        <w:spacing w:line="240" w:lineRule="auto"/>
        <w:ind w:firstLine="640"/>
        <w:jc w:val="both"/>
      </w:pPr>
    </w:p>
    <w:p w14:paraId="75196338">
      <w:pPr>
        <w:spacing w:line="240" w:lineRule="auto"/>
        <w:ind w:firstLine="640"/>
        <w:jc w:val="both"/>
      </w:pPr>
    </w:p>
    <w:p w14:paraId="4DE1AA97">
      <w:pPr>
        <w:spacing w:line="240" w:lineRule="auto"/>
        <w:ind w:firstLine="640"/>
        <w:jc w:val="both"/>
      </w:pPr>
    </w:p>
    <w:p w14:paraId="248AB961">
      <w:pPr>
        <w:spacing w:line="240" w:lineRule="auto"/>
        <w:ind w:firstLine="640"/>
        <w:jc w:val="both"/>
      </w:pPr>
    </w:p>
    <w:p w14:paraId="70B0A71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28FAE9-60C2-41D0-B587-08E6E608CE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219E3DF-CF30-412E-A09A-CA5B9E30F4A7}"/>
  </w:font>
  <w:font w:name="仿宋_GB2312">
    <w:altName w:val="仿宋"/>
    <w:panose1 w:val="02010609030101010101"/>
    <w:charset w:val="86"/>
    <w:family w:val="modern"/>
    <w:pitch w:val="default"/>
    <w:sig w:usb0="00000000" w:usb1="00000000" w:usb2="00000000" w:usb3="00000000" w:csb0="00040000" w:csb1="00000000"/>
    <w:embedRegular r:id="rId3" w:fontKey="{C5B696A0-C224-43B4-A30D-96ECA8CEB1A9}"/>
  </w:font>
  <w:font w:name="楷体_GB2312">
    <w:altName w:val="楷体"/>
    <w:panose1 w:val="02010609030101010101"/>
    <w:charset w:val="86"/>
    <w:family w:val="auto"/>
    <w:pitch w:val="default"/>
    <w:sig w:usb0="00000000" w:usb1="00000000" w:usb2="00000000" w:usb3="00000000" w:csb0="00040000" w:csb1="00000000"/>
    <w:embedRegular r:id="rId4" w:fontKey="{EA047168-D801-483C-8845-8B6A621E1881}"/>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4E72E7"/>
    <w:rsid w:val="6B68175F"/>
    <w:rsid w:val="6B8B5C99"/>
    <w:rsid w:val="6CA7198F"/>
    <w:rsid w:val="6D8919A8"/>
    <w:rsid w:val="6E0F7A08"/>
    <w:rsid w:val="6E801ABC"/>
    <w:rsid w:val="71473612"/>
    <w:rsid w:val="718F7F65"/>
    <w:rsid w:val="719F5BD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5008</Words>
  <Characters>5740</Characters>
  <Lines>0</Lines>
  <Paragraphs>0</Paragraphs>
  <TotalTime>7</TotalTime>
  <ScaleCrop>false</ScaleCrop>
  <LinksUpToDate>false</LinksUpToDate>
  <CharactersWithSpaces>5748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2025-09-08T09:41:38Z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