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rPr>
        <w:t xml:space="preserve">2024年商品房网签备案专网使用费项目</w:t>
      </w: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rPr>
        <w:t xml:space="preserve">支出绩效评价报告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w:t>
      </w:r>
      <w:r>
        <w:rPr>
          <w:rFonts w:ascii="方正小标宋_GBK" w:eastAsia="方正小标宋_GBK" w:hAnsi="黑体" w:cs="仿宋_GB2312" w:hint="eastAsia"/>
          <w:bCs/>
          <w:color w:val="auto"/>
          <w:sz w:val="44"/>
          <w:szCs w:val="44"/>
          <w:highlight w:val="none"/>
          <w:lang w:eastAsia="zh-CN"/>
        </w:rPr>
        <w:t xml:space="preserve">202</w:t>
      </w:r>
      <w:r>
        <w:rPr>
          <w:rFonts w:ascii="方正小标宋_GBK" w:eastAsia="方正小标宋_GBK" w:hAnsi="黑体" w:cs="仿宋_GB2312" w:hint="eastAsia"/>
          <w:bCs/>
          <w:color w:val="auto"/>
          <w:sz w:val="44"/>
          <w:szCs w:val="44"/>
          <w:highlight w:val="none"/>
          <w:lang w:val="en-US" w:eastAsia="zh-CN"/>
        </w:rPr>
        <w:t xml:space="preserve">4</w:t>
      </w:r>
      <w:r>
        <w:rPr>
          <w:rFonts w:ascii="方正小标宋_GBK" w:eastAsia="方正小标宋_GBK" w:hAnsi="黑体" w:cs="仿宋_GB2312" w:hint="eastAsia"/>
          <w:bCs/>
          <w:color w:val="auto"/>
          <w:sz w:val="44"/>
          <w:szCs w:val="44"/>
          <w:highlight w:val="none"/>
        </w:rPr>
        <w:t xml:space="preserve">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项目名称：2024年商品房网签备案专网使用费项目</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项目单位：阿图什市房地产服务中心</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主管部门：阿图什市房地产服务中心</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lang w:eastAsia="zh-CN"/>
        </w:rPr>
        <w:t xml:space="preserve">202</w:t>
      </w:r>
      <w:r>
        <w:rPr>
          <w:rFonts w:ascii="黑体" w:eastAsia="黑体" w:hAnsi="黑体" w:cs="仿宋_GB2312" w:hint="eastAsia"/>
          <w:color w:val="auto"/>
          <w:sz w:val="32"/>
          <w:szCs w:val="32"/>
          <w:highlight w:val="none"/>
          <w:lang w:val="en-US" w:eastAsia="zh-CN"/>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23</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rPr>
        <w:t xml:space="preserve">2024年商品房网签备案专网使用费项目</w:t>
      </w: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rPr>
        <w:t xml:space="preserve">支出绩效评价报告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国家和地方相关法律法规要求加强商品房交易管理，规范商品房销售行为，保障交易安全。阿图什市通过建立商品房网签备案专网，实现商品房买卖合同的网上签约和备案，满足政策法规的要求。《中华人民共和国城市房地产管理法》等法律规定商品房预售应当办理登记备案手续，</w:t>
      </w:r>
      <w:r>
        <w:rPr>
          <w:rFonts w:ascii="仿宋_GB2312" w:hAnsi="仿宋" w:cs="宋体" w:hint="eastAsia"/>
          <w:color w:val="auto"/>
          <w:sz w:val="32"/>
          <w:szCs w:val="32"/>
          <w:highlight w:val="none"/>
          <w:lang w:val="en-US" w:eastAsia="zh-CN"/>
        </w:rPr>
        <w:t xml:space="preserve">为</w:t>
      </w:r>
      <w:r>
        <w:rPr>
          <w:rFonts w:ascii="仿宋_GB2312" w:hAnsi="仿宋" w:cs="宋体" w:hint="eastAsia"/>
          <w:color w:val="auto"/>
          <w:sz w:val="32"/>
          <w:szCs w:val="32"/>
          <w:highlight w:val="none"/>
        </w:rPr>
        <w:t xml:space="preserve">网签备案专网这一规定的落实提供了技术支撑。传统的商品房交易备案方式效率低下，容易出现信息不准确、不及时等问题。通过建设专网，实现信息化管理，可以提高备案的效率和准确性，方便房地产管理部门及时掌握商品房交易情况，加强对房地产市场的监测和调控。同时，专网能够实现数据的实时共享和传递，使阿图什市房地产服务中心、不动产登记中心等相关部门之间的协作更加顺畅，提高工作效率。</w:t>
      </w:r>
    </w:p>
    <w:p>
      <w:pPr>
        <w:snapToGrid w:val="0"/>
        <w:spacing w:line="560" w:lineRule="exact"/>
        <w:ind w:firstLine="800" w:firstLineChars="250"/>
        <w:outlineLvl w:val="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网签备案专网可以对商品房交易进行全程监管，防止开发企业一房多卖、虚假销售等违规行为的发生，保障购房人的合法权益。购房人可以通过专网查询所购房屋的相关信息，了解房屋的销售状态、备案情况等，增加交易的透明度，减少交易风险。准确</w:t>
      </w:r>
      <w:r>
        <w:rPr>
          <w:rFonts w:ascii="仿宋_GB2312" w:hAnsi="仿宋" w:cs="宋体" w:hint="eastAsia"/>
          <w:color w:val="auto"/>
          <w:sz w:val="32"/>
          <w:szCs w:val="32"/>
          <w:highlight w:val="none"/>
        </w:rPr>
        <w:t xml:space="preserve">及</w:t>
      </w:r>
      <w:r>
        <w:rPr>
          <w:rFonts w:ascii="仿宋_GB2312" w:hAnsi="仿宋" w:cs="宋体" w:hint="eastAsia"/>
          <w:color w:val="auto"/>
          <w:sz w:val="32"/>
          <w:szCs w:val="32"/>
          <w:highlight w:val="none"/>
        </w:rPr>
        <w:t xml:space="preserve">时的网签备案数据能够为阿图什市房地产市场的分析和研究提供依据，帮助政府部门了解市场供求关系、价格走势等情况，制定科学合理的房地产市场调控政策，促进房地产市场的平稳健康发展。</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根据《阿图什市房地产服务中心关于项目经费使用的会议纪要》，本项目总投资1.5万元，主要用于维护专网电缆线1条，缴纳12个月网费</w:t>
      </w:r>
      <w:r>
        <w:rPr>
          <w:rFonts w:ascii="仿宋_GB2312" w:hAnsi="仿宋_GB2312" w:cs="仿宋_GB2312" w:hint="eastAsia"/>
          <w:color w:val="auto"/>
          <w:sz w:val="32"/>
          <w:szCs w:val="30"/>
          <w:highlight w:val="none"/>
          <w:lang w:eastAsia="zh-CN"/>
        </w:rPr>
        <w:t xml:space="preserve">；</w:t>
      </w:r>
      <w:r>
        <w:rPr>
          <w:rFonts w:ascii="仿宋_GB2312" w:hAnsi="仿宋_GB2312" w:cs="仿宋_GB2312" w:hint="eastAsia"/>
          <w:color w:val="auto"/>
          <w:sz w:val="32"/>
          <w:szCs w:val="30"/>
          <w:highlight w:val="none"/>
          <w:lang w:val="en-US" w:eastAsia="zh-CN"/>
        </w:rPr>
        <w:t xml:space="preserve">通过实施本项目</w:t>
      </w:r>
      <w:r>
        <w:rPr>
          <w:rFonts w:ascii="仿宋_GB2312" w:hAnsi="仿宋_GB2312" w:cs="仿宋_GB2312" w:hint="eastAsia"/>
          <w:color w:val="auto"/>
          <w:sz w:val="32"/>
          <w:szCs w:val="30"/>
          <w:highlight w:val="none"/>
        </w:rPr>
        <w:t xml:space="preserve">提高工作效率及公众服务能力，更好</w:t>
      </w:r>
      <w:r>
        <w:rPr>
          <w:rFonts w:ascii="仿宋_GB2312" w:hAnsi="仿宋_GB2312" w:cs="仿宋_GB2312" w:hint="eastAsia"/>
          <w:color w:val="auto"/>
          <w:sz w:val="32"/>
          <w:szCs w:val="30"/>
          <w:highlight w:val="none"/>
          <w:lang w:val="en-US" w:eastAsia="zh-CN"/>
        </w:rPr>
        <w:t xml:space="preserve">地</w:t>
      </w:r>
      <w:r>
        <w:rPr>
          <w:rFonts w:ascii="仿宋_GB2312" w:hAnsi="仿宋_GB2312" w:cs="仿宋_GB2312" w:hint="eastAsia"/>
          <w:color w:val="auto"/>
          <w:sz w:val="32"/>
          <w:szCs w:val="30"/>
          <w:highlight w:val="none"/>
        </w:rPr>
        <w:t xml:space="preserve">服务人民群众。</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实施主体：本项目的主管部门为阿图什市房地产服务中心,实施单位为阿图什市房地产服务中心，主要职责</w:t>
      </w:r>
      <w:r>
        <w:rPr>
          <w:rFonts w:ascii="仿宋_GB2312" w:hAnsi="仿宋_GB2312" w:cs="仿宋_GB2312" w:hint="eastAsia"/>
          <w:bCs/>
          <w:color w:val="auto"/>
          <w:sz w:val="32"/>
          <w:szCs w:val="30"/>
          <w:highlight w:val="none"/>
          <w:lang w:eastAsia="zh-CN"/>
        </w:rPr>
        <w:t xml:space="preserve">：</w:t>
      </w:r>
      <w:r>
        <w:rPr>
          <w:rFonts w:ascii="仿宋_GB2312" w:hAnsi="仿宋_GB2312" w:cs="仿宋_GB2312" w:hint="eastAsia"/>
          <w:bCs/>
          <w:color w:val="auto"/>
          <w:sz w:val="32"/>
          <w:szCs w:val="30"/>
          <w:highlight w:val="none"/>
        </w:rPr>
        <w:t xml:space="preserve">贯彻执行国家、自治区、自治州有关房产法律、法规和方针、政策，拟定全市房产管理地方性文件、实施办法，并组织全面实施；负责全市房地产开发、交易市场的服务管理;负责整顿、规范房产市场;负责房地产中介服务指导与管理；负责全市房屋产权产籍、抵押等管理工作、房地产评估、测绘服务管理、商品房预(销)售管理和房屋网签备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w:t>
      </w:r>
      <w:r>
        <w:rPr>
          <w:rFonts w:ascii="仿宋_GB2312" w:hAnsi="仿宋_GB2312" w:cs="仿宋_GB2312" w:hint="eastAsia"/>
          <w:bCs/>
          <w:color w:val="auto"/>
          <w:sz w:val="32"/>
          <w:szCs w:val="30"/>
          <w:highlight w:val="none"/>
          <w:lang w:eastAsia="zh-CN"/>
        </w:rPr>
        <w:t xml:space="preserve">202</w:t>
      </w:r>
      <w:r>
        <w:rPr>
          <w:rFonts w:ascii="仿宋_GB2312" w:hAnsi="仿宋_GB2312" w:cs="仿宋_GB2312" w:hint="eastAsia"/>
          <w:bCs/>
          <w:color w:val="auto"/>
          <w:sz w:val="32"/>
          <w:szCs w:val="30"/>
          <w:highlight w:val="none"/>
          <w:lang w:val="en-US" w:eastAsia="zh-CN"/>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本项目的实施符合《中华人民共和国城市房地产管理法》等法律规定商品房预售应当办理登记备案手续，</w:t>
      </w:r>
      <w:r>
        <w:rPr>
          <w:rFonts w:ascii="仿宋_GB2312" w:hAnsi="仿宋_GB2312" w:cs="仿宋_GB2312" w:hint="eastAsia"/>
          <w:bCs/>
          <w:color w:val="auto"/>
          <w:sz w:val="32"/>
          <w:szCs w:val="30"/>
          <w:highlight w:val="none"/>
          <w:lang w:val="en-US" w:eastAsia="zh-CN"/>
        </w:rPr>
        <w:t xml:space="preserve">为网签备案专网这一规定的落实提供了技术支撑</w:t>
      </w:r>
      <w:r>
        <w:rPr>
          <w:rFonts w:ascii="仿宋_GB2312" w:hAnsi="仿宋_GB2312" w:cs="仿宋_GB2312" w:hint="eastAsia"/>
          <w:bCs/>
          <w:color w:val="auto"/>
          <w:sz w:val="32"/>
          <w:szCs w:val="30"/>
          <w:highlight w:val="none"/>
        </w:rPr>
        <w:t xml:space="preserve">，</w:t>
      </w:r>
      <w:r>
        <w:rPr>
          <w:rFonts w:ascii="仿宋_GB2312" w:hAnsi="仿宋_GB2312" w:cs="仿宋_GB2312" w:hint="eastAsia"/>
          <w:bCs/>
          <w:color w:val="auto"/>
          <w:sz w:val="32"/>
          <w:szCs w:val="30"/>
          <w:highlight w:val="none"/>
          <w:lang w:val="en-US" w:eastAsia="zh-CN"/>
        </w:rPr>
        <w:t xml:space="preserve">本年度已完成</w:t>
      </w:r>
      <w:r>
        <w:rPr>
          <w:rFonts w:ascii="仿宋_GB2312" w:hAnsi="仿宋_GB2312" w:cs="仿宋_GB2312" w:hint="eastAsia"/>
          <w:bCs/>
          <w:color w:val="auto"/>
          <w:sz w:val="32"/>
          <w:szCs w:val="30"/>
          <w:highlight w:val="none"/>
        </w:rPr>
        <w:t xml:space="preserve">维护专网电缆线数量1条，缴纳网费12个月；通过实施本项目</w:t>
      </w:r>
      <w:r>
        <w:rPr>
          <w:rFonts w:ascii="仿宋_GB2312" w:hAnsi="仿宋_GB2312" w:cs="仿宋_GB2312" w:hint="eastAsia"/>
          <w:bCs/>
          <w:color w:val="auto"/>
          <w:sz w:val="32"/>
          <w:szCs w:val="30"/>
          <w:highlight w:val="none"/>
          <w:lang w:eastAsia="zh-CN"/>
        </w:rPr>
        <w:t xml:space="preserve">，</w:t>
      </w:r>
      <w:r>
        <w:rPr>
          <w:rFonts w:ascii="仿宋_GB2312" w:hAnsi="仿宋_GB2312" w:cs="仿宋_GB2312" w:hint="eastAsia"/>
          <w:bCs/>
          <w:color w:val="auto"/>
          <w:sz w:val="32"/>
          <w:szCs w:val="30"/>
          <w:highlight w:val="none"/>
          <w:lang w:val="en-US" w:eastAsia="zh-CN"/>
        </w:rPr>
        <w:t xml:space="preserve">有效</w:t>
      </w:r>
      <w:r>
        <w:rPr>
          <w:rFonts w:ascii="仿宋_GB2312" w:hAnsi="仿宋_GB2312" w:cs="仿宋_GB2312" w:hint="eastAsia"/>
          <w:bCs/>
          <w:color w:val="auto"/>
          <w:sz w:val="32"/>
          <w:szCs w:val="30"/>
          <w:highlight w:val="none"/>
        </w:rPr>
        <w:t xml:space="preserve">提高</w:t>
      </w:r>
      <w:r>
        <w:rPr>
          <w:rFonts w:ascii="仿宋_GB2312" w:hAnsi="仿宋_GB2312" w:cs="仿宋_GB2312" w:hint="eastAsia"/>
          <w:bCs/>
          <w:color w:val="auto"/>
          <w:sz w:val="32"/>
          <w:szCs w:val="30"/>
          <w:highlight w:val="none"/>
          <w:lang w:val="en-US" w:eastAsia="zh-CN"/>
        </w:rPr>
        <w:t xml:space="preserve">日常</w:t>
      </w:r>
      <w:r>
        <w:rPr>
          <w:rFonts w:ascii="仿宋_GB2312" w:hAnsi="仿宋_GB2312" w:cs="仿宋_GB2312" w:hint="eastAsia"/>
          <w:bCs/>
          <w:color w:val="auto"/>
          <w:sz w:val="32"/>
          <w:szCs w:val="30"/>
          <w:highlight w:val="none"/>
        </w:rPr>
        <w:t xml:space="preserve">工作效率及公众服务能力，更好</w:t>
      </w:r>
      <w:r>
        <w:rPr>
          <w:rFonts w:ascii="仿宋_GB2312" w:hAnsi="仿宋_GB2312" w:cs="仿宋_GB2312" w:hint="eastAsia"/>
          <w:bCs/>
          <w:color w:val="auto"/>
          <w:sz w:val="32"/>
          <w:szCs w:val="30"/>
          <w:highlight w:val="none"/>
          <w:lang w:val="en-US" w:eastAsia="zh-CN"/>
        </w:rPr>
        <w:t xml:space="preserve">地</w:t>
      </w:r>
      <w:r>
        <w:rPr>
          <w:rFonts w:ascii="仿宋_GB2312" w:hAnsi="仿宋_GB2312" w:cs="仿宋_GB2312" w:hint="eastAsia"/>
          <w:bCs/>
          <w:color w:val="auto"/>
          <w:sz w:val="32"/>
          <w:szCs w:val="30"/>
          <w:highlight w:val="none"/>
        </w:rPr>
        <w:t xml:space="preserve">服务人民群众。</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
          <w:bCs w:val="0"/>
          <w:color w:val="auto"/>
          <w:sz w:val="32"/>
          <w:szCs w:val="30"/>
          <w:highlight w:val="none"/>
        </w:rPr>
      </w:pPr>
      <w:r>
        <w:rPr>
          <w:rFonts w:ascii="仿宋_GB2312" w:hAnsi="仿宋_GB2312" w:cs="仿宋_GB2312" w:hint="eastAsia"/>
          <w:b/>
          <w:bCs w:val="0"/>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资金投入情况：本项目总投资1.50万元，资金来源为本级部门预算</w:t>
      </w:r>
      <w:r>
        <w:rPr>
          <w:rStyle w:val="Strong"/>
          <w:rFonts w:ascii="仿宋_GB2312" w:hAnsi="仿宋_GB2312" w:cs="仿宋_GB2312" w:hint="eastAsia"/>
          <w:b w:val="0"/>
          <w:bCs w:val="0"/>
          <w:color w:val="auto"/>
          <w:spacing w:val="-4"/>
          <w:sz w:val="32"/>
          <w:szCs w:val="30"/>
          <w:highlight w:val="none"/>
          <w:lang w:val="en-US" w:eastAsia="zh-CN"/>
        </w:rPr>
        <w:t xml:space="preserve">资金</w:t>
      </w:r>
      <w:r>
        <w:rPr>
          <w:rStyle w:val="Strong"/>
          <w:rFonts w:ascii="仿宋_GB2312" w:hAnsi="仿宋_GB2312" w:cs="仿宋_GB2312" w:hint="eastAsia"/>
          <w:b w:val="0"/>
          <w:bCs w:val="0"/>
          <w:color w:val="auto"/>
          <w:spacing w:val="-4"/>
          <w:sz w:val="32"/>
          <w:szCs w:val="30"/>
          <w:highlight w:val="none"/>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color w:val="auto"/>
          <w:spacing w:val="-4"/>
          <w:sz w:val="32"/>
          <w:szCs w:val="30"/>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资金使用情况：根据项目实施情况，项目资金实际支付1.50万元，资金执行率达到</w:t>
      </w:r>
      <w:r>
        <w:rPr>
          <w:rStyle w:val="Strong"/>
          <w:rFonts w:ascii="仿宋_GB2312" w:hAnsi="仿宋_GB2312" w:cs="仿宋_GB2312" w:hint="eastAsia"/>
          <w:b w:val="0"/>
          <w:color w:val="auto"/>
          <w:spacing w:val="-4"/>
          <w:sz w:val="32"/>
          <w:szCs w:val="30"/>
          <w:highlight w:val="none"/>
          <w:lang w:val="en-US" w:eastAsia="zh-CN"/>
        </w:rPr>
        <w:t xml:space="preserve">100</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通讯费</w:t>
      </w:r>
      <w:r>
        <w:rPr>
          <w:rStyle w:val="Strong"/>
          <w:rFonts w:ascii="仿宋_GB2312" w:hint="eastAsia"/>
          <w:b w:val="0"/>
          <w:color w:val="auto"/>
          <w:spacing w:val="-4"/>
          <w:sz w:val="32"/>
          <w:highlight w:val="none"/>
          <w:lang w:eastAsia="zh-CN"/>
        </w:rPr>
        <w:t xml:space="preserve">：</w:t>
      </w:r>
      <w:r>
        <w:rPr>
          <w:rStyle w:val="Strong"/>
          <w:rFonts w:ascii="仿宋_GB2312" w:hint="eastAsia"/>
          <w:b w:val="0"/>
          <w:color w:val="auto"/>
          <w:spacing w:val="-4"/>
          <w:sz w:val="32"/>
          <w:highlight w:val="none"/>
        </w:rPr>
        <w:t xml:space="preserve">0.45万元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缴纳网费成本</w:t>
      </w:r>
      <w:r>
        <w:rPr>
          <w:rStyle w:val="Strong"/>
          <w:rFonts w:ascii="仿宋_GB2312" w:hint="eastAsia"/>
          <w:b w:val="0"/>
          <w:color w:val="auto"/>
          <w:spacing w:val="-4"/>
          <w:sz w:val="32"/>
          <w:highlight w:val="none"/>
          <w:lang w:eastAsia="zh-CN"/>
        </w:rPr>
        <w:t xml:space="preserve">：</w:t>
      </w:r>
      <w:r>
        <w:rPr>
          <w:rStyle w:val="Strong"/>
          <w:rFonts w:ascii="仿宋_GB2312" w:hint="eastAsia"/>
          <w:b w:val="0"/>
          <w:color w:val="auto"/>
          <w:spacing w:val="-4"/>
          <w:sz w:val="32"/>
          <w:highlight w:val="none"/>
        </w:rPr>
        <w:t xml:space="preserve">0.96万元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 w:cs="宋体" w:hint="eastAsia"/>
          <w:color w:val="auto"/>
          <w:sz w:val="32"/>
          <w:szCs w:val="32"/>
          <w:highlight w:val="none"/>
        </w:rPr>
      </w:pPr>
      <w:r>
        <w:rPr>
          <w:rFonts w:ascii="仿宋_GB2312" w:hAnsi="仿宋_GB2312" w:cs="仿宋_GB2312" w:hint="eastAsia"/>
          <w:color w:val="auto"/>
          <w:sz w:val="32"/>
          <w:highlight w:val="none"/>
        </w:rPr>
        <w:t xml:space="preserve">年度总体目标为：根据《阿图什市房地产服务中心关于项目经费使用的会议纪要》，本项目总投资1.5万元，主要用于维护专网电缆线1条，缴纳12个月网费；通过实施本项目提高工作效率及公众服务能力，更好地服务人民群众。</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（一）绩效评价目的、对象和范围</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 1．绩效评价目的</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本次绩效评价遵循财政部《项目支出绩效评价管理办法》（财预〔</w:t>
      </w:r>
      <w:r>
        <w:rPr>
          <w:rFonts w:ascii="仿宋_GB2312" w:eastAsia="仿宋_GB2312" w:hAnsi="仿宋_GB2312" w:cs="仿宋_GB2312" w:hint="eastAsia"/>
          <w:color w:val="auto"/>
          <w:sz w:val="32"/>
          <w:szCs w:val="32"/>
          <w:highlight w:val="none"/>
          <w:lang w:eastAsia="zh-CN"/>
        </w:rPr>
        <w:t xml:space="preserve">202</w:t>
      </w:r>
      <w:r>
        <w:rPr>
          <w:rFonts w:ascii="仿宋_GB2312" w:eastAsia="仿宋_GB2312" w:hAnsi="仿宋_GB2312" w:cs="仿宋_GB2312" w:hint="eastAsia"/>
          <w:color w:val="auto"/>
          <w:sz w:val="32"/>
          <w:szCs w:val="32"/>
          <w:highlight w:val="none"/>
          <w:lang w:val="en-US" w:eastAsia="zh-CN"/>
        </w:rPr>
        <w:t xml:space="preserve">0</w:t>
      </w:r>
      <w:r>
        <w:rPr>
          <w:rFonts w:ascii="仿宋_GB2312" w:eastAsia="仿宋_GB2312" w:hAnsi="仿宋_GB2312" w:cs="仿宋_GB2312" w:hint="eastAsia"/>
          <w:color w:val="auto"/>
          <w:sz w:val="32"/>
          <w:szCs w:val="32"/>
          <w:highlight w:val="none"/>
        </w:rPr>
        <w:t xml:space="preserve">〕10号）和自治区财政厅</w:t>
      </w:r>
      <w:r>
        <w:rPr>
          <w:rFonts w:ascii="仿宋_GB2312" w:eastAsia="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eastAsia="仿宋_GB2312" w:hAnsi="仿宋_GB2312" w:cs="仿宋_GB2312" w:hint="eastAsia"/>
          <w:color w:val="auto"/>
          <w:sz w:val="32"/>
          <w:szCs w:val="32"/>
          <w:highlight w:val="none"/>
        </w:rPr>
        <w:t xml:space="preserve">等相关政策文件与规定，</w:t>
      </w:r>
      <w:r>
        <w:rPr>
          <w:rFonts w:ascii="仿宋_GB2312" w:eastAsia="仿宋_GB2312" w:hAnsi="仿宋_GB2312" w:cs="仿宋_GB2312" w:hint="eastAsia"/>
          <w:color w:val="auto"/>
          <w:sz w:val="32"/>
          <w:szCs w:val="32"/>
          <w:highlight w:val="none"/>
          <w:lang w:val="en-US" w:eastAsia="zh-CN"/>
        </w:rPr>
        <w:t xml:space="preserve">绩效评价</w:t>
      </w:r>
      <w:r>
        <w:rPr>
          <w:rFonts w:ascii="仿宋_GB2312" w:eastAsia="仿宋_GB2312" w:hAnsi="仿宋_GB2312" w:cs="仿宋_GB2312" w:hint="eastAsia"/>
          <w:color w:val="auto"/>
          <w:sz w:val="32"/>
          <w:szCs w:val="32"/>
          <w:highlight w:val="none"/>
        </w:rPr>
        <w:t xml:space="preserve">旨在评价</w:t>
      </w:r>
      <w:r>
        <w:rPr>
          <w:rFonts w:ascii="仿宋_GB2312" w:eastAsia="仿宋_GB2312" w:hAnsi="仿宋_GB2312" w:cs="仿宋_GB2312" w:hint="eastAsia"/>
          <w:color w:val="auto"/>
          <w:sz w:val="32"/>
          <w:szCs w:val="32"/>
          <w:highlight w:val="none"/>
          <w:lang w:eastAsia="zh-CN"/>
        </w:rPr>
        <w:t xml:space="preserve">本</w:t>
      </w:r>
      <w:r>
        <w:rPr>
          <w:rFonts w:ascii="仿宋_GB2312" w:eastAsia="仿宋_GB2312" w:hAnsi="仿宋_GB2312" w:cs="仿宋_GB2312" w:hint="eastAsia"/>
          <w:color w:val="auto"/>
          <w:sz w:val="32"/>
          <w:szCs w:val="32"/>
          <w:highlight w:val="none"/>
        </w:rPr>
        <w:t xml:space="preserve">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一是：通过部门项目支出绩效评价，进一步严格落实《中华人民共和国预算法》以及党中央、国务院关于加强预算绩效管理的指示精神，建立健全“花钱必问效、无效必问责”的绩效预算管理机制</w:t>
      </w:r>
      <w:r>
        <w:rPr>
          <w:rFonts w:ascii="仿宋_GB2312" w:eastAsia="仿宋_GB2312" w:hAnsi="仿宋_GB2312" w:cs="仿宋_GB2312" w:hint="eastAsia"/>
          <w:color w:val="auto"/>
          <w:sz w:val="32"/>
          <w:szCs w:val="32"/>
          <w:highlight w:val="none"/>
          <w:lang w:eastAsia="zh-CN"/>
        </w:rPr>
        <w:t xml:space="preserve">，</w:t>
      </w:r>
      <w:r>
        <w:rPr>
          <w:rFonts w:ascii="仿宋_GB2312" w:eastAsia="仿宋_GB2312" w:hAnsi="仿宋_GB2312" w:cs="仿宋_GB2312" w:hint="eastAsia"/>
          <w:color w:val="auto"/>
          <w:sz w:val="32"/>
          <w:szCs w:val="32"/>
          <w:highlight w:val="none"/>
        </w:rPr>
        <w:t xml:space="preserve">提升财政资金的使用效能。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w:t>
      </w:r>
      <w:r>
        <w:rPr>
          <w:rFonts w:ascii="仿宋_GB2312" w:hAnsi="仿宋_GB2312" w:cs="仿宋_GB2312" w:hint="eastAsia"/>
          <w:color w:val="auto"/>
          <w:sz w:val="32"/>
          <w:szCs w:val="32"/>
          <w:highlight w:val="none"/>
          <w:lang w:eastAsia="zh-CN"/>
        </w:rPr>
        <w:t xml:space="preserve">2024年商品房网签备案专网使用费项目</w:t>
      </w:r>
      <w:r>
        <w:rPr>
          <w:rFonts w:ascii="仿宋_GB2312" w:hAnsi="仿宋_GB2312" w:cs="仿宋_GB2312" w:hint="eastAsia"/>
          <w:color w:val="auto"/>
          <w:sz w:val="32"/>
          <w:szCs w:val="32"/>
          <w:highlight w:val="none"/>
        </w:rPr>
        <w:t xml:space="preserve">从预算编制合理性、资金使用合规性、项目管理的规范性、实施情况、总体绩效目标、各项绩效指标完成情况以及预算执行情况进行科学性评价。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val="0"/>
          <w:color w:val="auto"/>
          <w:sz w:val="32"/>
          <w:highlight w:val="none"/>
        </w:rPr>
      </w:pPr>
      <w:r>
        <w:rPr>
          <w:rFonts w:ascii="楷体" w:eastAsia="楷体" w:hAnsi="楷体" w:cs="仿宋_GB2312" w:hint="eastAsia"/>
          <w:b/>
          <w:bCs w:val="0"/>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highlight w:val="none"/>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 </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（3）激励约束。绩效评价结果应用</w:t>
      </w:r>
      <w:r>
        <w:rPr>
          <w:rFonts w:ascii="仿宋_GB2312" w:hAnsi="仿宋_GB2312" w:cs="仿宋_GB2312" w:hint="eastAsia"/>
          <w:color w:val="auto"/>
          <w:sz w:val="32"/>
          <w:highlight w:val="none"/>
          <w:lang w:eastAsia="zh-CN"/>
        </w:rPr>
        <w:t xml:space="preserve">、</w:t>
      </w:r>
      <w:r>
        <w:rPr>
          <w:rFonts w:ascii="仿宋_GB2312" w:hAnsi="仿宋_GB2312" w:cs="仿宋_GB2312" w:hint="eastAsia"/>
          <w:color w:val="auto"/>
          <w:sz w:val="32"/>
          <w:highlight w:val="none"/>
        </w:rPr>
        <w:t xml:space="preserve">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lang w:val="en-US" w:eastAsia="zh-CN"/>
        </w:rPr>
      </w:pPr>
      <w:r>
        <w:rPr>
          <w:rFonts w:ascii="仿宋_GB2312" w:hAnsi="仿宋_GB2312" w:cs="仿宋_GB2312" w:hint="eastAsia"/>
          <w:b/>
          <w:bCs/>
          <w:color w:val="auto"/>
          <w:sz w:val="32"/>
          <w:highlight w:val="none"/>
          <w:lang w:eastAsia="zh-CN"/>
        </w:rPr>
        <w:t xml:space="preserve">2</w:t>
      </w:r>
      <w:r>
        <w:rPr>
          <w:rFonts w:ascii="仿宋_GB2312" w:hAnsi="仿宋_GB2312" w:cs="仿宋_GB2312" w:hint="eastAsia"/>
          <w:b/>
          <w:bCs/>
          <w:color w:val="auto"/>
          <w:sz w:val="32"/>
          <w:highlight w:val="none"/>
        </w:rPr>
        <w:t xml:space="preserve">．</w:t>
      </w:r>
      <w:r>
        <w:rPr>
          <w:rFonts w:ascii="仿宋_GB2312" w:hAnsi="仿宋_GB2312" w:cs="仿宋_GB2312" w:hint="eastAsia"/>
          <w:b/>
          <w:bCs/>
          <w:color w:val="auto"/>
          <w:sz w:val="32"/>
          <w:highlight w:val="none"/>
          <w:lang w:val="en-US" w:eastAsia="zh-CN"/>
        </w:rPr>
        <w:t xml:space="preserve">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eastAsia="zh-CN"/>
        </w:rPr>
      </w:pPr>
      <w:r>
        <w:rPr>
          <w:rFonts w:ascii="仿宋_GB2312" w:hAnsi="仿宋_GB2312" w:cs="仿宋_GB2312" w:hint="eastAsia"/>
          <w:color w:val="auto"/>
          <w:sz w:val="32"/>
          <w:highlight w:val="none"/>
          <w:lang w:val="en-US" w:eastAsia="zh-CN"/>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在对2024年商品房网签备案专网使用项目的深入调研基础上，按照《项目支出绩效评价管理办法》（财预〔2021〕10号）对于指标体系的要求和规范，建立一套适合评价2024年商品房网签备案专网使用费项目的指标体系，从项目决策、项目过程、项目产出和项目绩效四个维度全面考察2024年商品房网签备案专网使用费项目资金的效益，并重点对于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eastAsia="仿宋_GB2312" w:hAnsi="仿宋" w:hint="eastAsia"/>
          <w:color w:val="auto"/>
          <w:sz w:val="32"/>
          <w:szCs w:val="32"/>
          <w:highlight w:val="none"/>
        </w:rPr>
      </w:pPr>
      <w:r>
        <w:rPr>
          <w:rFonts w:ascii="仿宋_GB2312" w:hAnsi="仿宋_GB2312" w:cs="仿宋_GB2312" w:hint="eastAsia"/>
          <w:b/>
          <w:bCs/>
          <w:color w:val="auto"/>
          <w:sz w:val="32"/>
          <w:highlight w:val="none"/>
          <w:lang w:val="en-US" w:eastAsia="zh-CN"/>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②定性指标分析环节：主要采用公众评判法，通过问卷及抽样调查等方式评价本项目实施后社会公众对于其实施效果的满意程度，将调研结果按照《项目支出绩效评价管理办法》（财预〔2020〕10号）、《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预算编制科学性</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成本效益分析法</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资金使用合规性：文献法、实地勘察法，一是查找资金管理办法，包括专项资金管理办法和单位自有资金管理办法；二是通过查账了解具体开支情况，是否专用专用，是否按照标准支出。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left="0" w:firstLine="640" w:leftChars="0" w:firstLineChars="200"/>
        <w:contextualSpacing/>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绩效评价标准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2024年商品房网签备案专网使用费项目属于</w:t>
      </w:r>
      <w:r>
        <w:rPr>
          <w:rFonts w:ascii="仿宋_GB2312" w:hAnsi="仿宋_GB2312" w:cs="仿宋_GB2312" w:hint="eastAsia"/>
          <w:color w:val="auto"/>
          <w:sz w:val="32"/>
          <w:szCs w:val="24"/>
          <w:highlight w:val="none"/>
          <w:lang w:val="en-US" w:eastAsia="zh-CN" w:bidi="ar-SA"/>
        </w:rPr>
        <w:t xml:space="preserve">业务类</w:t>
      </w:r>
      <w:r>
        <w:rPr>
          <w:rFonts w:ascii="仿宋_GB2312" w:eastAsia="仿宋_GB2312" w:hAnsi="仿宋_GB2312" w:cs="仿宋_GB2312" w:hint="eastAsia"/>
          <w:color w:val="auto"/>
          <w:sz w:val="32"/>
          <w:szCs w:val="24"/>
          <w:highlight w:val="none"/>
          <w:lang w:val="en-US" w:eastAsia="zh-CN" w:bidi="ar-SA"/>
        </w:rPr>
        <w:t xml:space="preserve">项目，</w:t>
      </w:r>
      <w:r>
        <w:rPr>
          <w:rFonts w:ascii="仿宋_GB2312" w:eastAsia="仿宋_GB2312" w:hAnsi="仿宋_GB2312" w:cs="仿宋_GB2312" w:hint="eastAsia"/>
          <w:b w:val="0"/>
          <w:bCs/>
          <w:color w:val="auto"/>
          <w:sz w:val="32"/>
          <w:szCs w:val="24"/>
          <w:highlight w:val="none"/>
          <w:lang w:val="en-US" w:eastAsia="zh-CN" w:bidi="ar-SA"/>
        </w:rPr>
        <w:t xml:space="preserve">有</w:t>
      </w:r>
      <w:r>
        <w:rPr>
          <w:rFonts w:ascii="仿宋_GB2312" w:eastAsia="仿宋_GB2312" w:hAnsi="仿宋_GB2312" w:cs="仿宋_GB2312" w:hint="eastAsia"/>
          <w:color w:val="auto"/>
          <w:sz w:val="32"/>
          <w:szCs w:val="24"/>
          <w:highlight w:val="none"/>
          <w:lang w:val="en-US" w:eastAsia="zh-CN" w:bidi="ar-SA"/>
        </w:rPr>
        <w:t xml:space="preserve">相应的行业标准和历史标准，故采用</w:t>
      </w:r>
      <w:r>
        <w:rPr>
          <w:rFonts w:ascii="仿宋_GB2312" w:eastAsia="仿宋_GB2312" w:hint="eastAsia"/>
          <w:color w:val="auto"/>
          <w:sz w:val="32"/>
          <w:highlight w:val="none"/>
        </w:rPr>
        <w:t xml:space="preserve">计划标准、行业标准、历史标准</w:t>
      </w:r>
      <w:r>
        <w:rPr>
          <w:rFonts w:ascii="仿宋_GB2312" w:eastAsia="仿宋_GB2312" w:hAnsi="仿宋_GB2312" w:cs="仿宋_GB2312" w:hint="eastAsia"/>
          <w:color w:val="auto"/>
          <w:sz w:val="32"/>
          <w:szCs w:val="24"/>
          <w:highlight w:val="none"/>
          <w:lang w:val="en-US" w:eastAsia="zh-CN" w:bidi="ar-SA"/>
        </w:rPr>
        <w:t xml:space="preserve">评价该项目。</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firstLineChars="200"/>
        <w:contextualSpacing/>
        <w:textAlignment w:val="auto"/>
        <w:rPr>
          <w:rFonts w:ascii="楷体" w:eastAsia="楷体" w:hAnsi="楷体" w:cs="仿宋_GB2312" w:hint="eastAsia"/>
          <w:b/>
          <w:bCs/>
          <w:color w:val="auto"/>
          <w:sz w:val="32"/>
          <w:szCs w:val="24"/>
          <w:highlight w:val="none"/>
          <w:lang w:val="en-US" w:eastAsia="zh-CN" w:bidi="ar-SA"/>
        </w:rPr>
      </w:pPr>
      <w:r>
        <w:rPr>
          <w:rFonts w:ascii="楷体" w:eastAsia="楷体" w:hAnsi="楷体" w:cs="仿宋_GB2312" w:hint="eastAsia"/>
          <w:b/>
          <w:bCs/>
          <w:color w:val="auto"/>
          <w:sz w:val="32"/>
          <w:szCs w:val="24"/>
          <w:highlight w:val="none"/>
          <w:lang w:val="en-US" w:eastAsia="zh-CN" w:bidi="ar-SA"/>
        </w:rPr>
        <w:t xml:space="preserve">（三）绩效评价工作过程。</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left="600" w:leftChars="200"/>
        <w:contextualSpacing/>
        <w:textAlignment w:val="auto"/>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1．前期准备</w:t>
      </w:r>
    </w:p>
    <w:p>
      <w:pPr>
        <w:pStyle w:val="标题2"/>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jc w:val="center"/>
        <w:textAlignment w:val="auto"/>
        <w:outlineLvl w:val="9"/>
        <w:rPr>
          <w:b/>
          <w:bCs/>
          <w:color w:val="auto"/>
          <w:highlight w:val="none"/>
        </w:rPr>
      </w:pPr>
      <w:r>
        <w:rPr>
          <w:rFonts w:hint="eastAsia"/>
          <w:b/>
          <w:bCs/>
          <w:color w:val="auto"/>
          <w:highlight w:val="none"/>
        </w:rPr>
        <w:t xml:space="preserve">本次评价成立了评价工作组，成员如下：</w:t>
      </w:r>
    </w:p>
    <w:tbl>
      <w:tblPr>
        <w:tblStyle w:val="NormalTabl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2761"/>
        <w:gridCol w:w="1827"/>
        <w:gridCol w:w="390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97"/>
          <w:jc w:val="center"/>
        </w:trPr>
        <w:tc>
          <w:tcPr>
            <w:tcW w:w="276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827"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务</w:t>
            </w:r>
          </w:p>
        </w:tc>
        <w:tc>
          <w:tcPr>
            <w:tcW w:w="3901"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责</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76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古力帕热孜木·阿不都热合曼</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组织安排绩效评价工作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761"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lang w:val="en-US" w:eastAsia="zh-CN"/>
              </w:rPr>
              <w:t xml:space="preserve">潘勇</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资料整理及信息汇总工作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76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夏长有</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2024年商品房网签备案专网使用费项目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2025年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组织管理、产出与效益效果。在此基础上，以相关的项目数据为基础，综合运用不同的评价方法，结合评价标准和评分规则，2024年商品房网签备案专网使用费项目综合得分为100分，</w:t>
      </w:r>
      <w:r>
        <w:rPr>
          <w:rFonts w:ascii="仿宋_GB2312" w:eastAsia="仿宋_GB2312" w:hAnsi="Cambria" w:hint="eastAsia"/>
          <w:color w:val="auto"/>
          <w:sz w:val="32"/>
          <w:szCs w:val="32"/>
          <w:highlight w:val="none"/>
        </w:rPr>
        <w:t xml:space="preserve">评价结果为优。</w:t>
      </w:r>
    </w:p>
    <w:p>
      <w:pPr>
        <w:pStyle w:val="Bodytext|1"/>
        <w:spacing w:line="560" w:lineRule="exact"/>
        <w:ind w:firstLine="582" w:firstLineChars="182"/>
        <w:jc w:val="center"/>
        <w:rPr>
          <w:rFonts w:ascii="仿宋_GB2312" w:eastAsia="仿宋_GB2312" w:hAnsi="仿宋_GB2312" w:cs="仿宋_GB2312" w:hint="eastAsia"/>
          <w:b/>
          <w:color w:val="auto"/>
          <w:sz w:val="32"/>
          <w:szCs w:val="32"/>
          <w:highlight w:val="none"/>
          <w:lang w:val="zh-CN" w:eastAsia="zh-CN" w:bidi="ar-SA"/>
        </w:rPr>
      </w:pPr>
    </w:p>
    <w:p>
      <w:pPr>
        <w:pStyle w:val="Bodytext|1"/>
        <w:spacing w:line="560" w:lineRule="exact"/>
        <w:ind w:firstLine="582" w:firstLineChars="182"/>
        <w:jc w:val="center"/>
        <w:rPr>
          <w:rFonts w:ascii="仿宋_GB2312" w:eastAsia="仿宋_GB2312" w:hAnsi="仿宋_GB2312" w:cs="仿宋_GB2312" w:hint="eastAsia"/>
          <w:b/>
          <w:color w:val="auto"/>
          <w:sz w:val="32"/>
          <w:szCs w:val="32"/>
          <w:highlight w:val="none"/>
          <w:lang w:val="zh-CN" w:eastAsia="zh-CN" w:bidi="ar-SA"/>
        </w:rPr>
      </w:pPr>
    </w:p>
    <w:p>
      <w:pPr>
        <w:pStyle w:val="Bodytext|1"/>
        <w:spacing w:line="560" w:lineRule="exact"/>
        <w:ind w:firstLine="582" w:firstLineChars="182"/>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zh-CN" w:eastAsia="zh-CN" w:bidi="ar-SA"/>
        </w:rPr>
        <w:t xml:space="preserve">2024年商品房网签备案专网使用费项目</w:t>
      </w:r>
      <w:r>
        <w:rPr>
          <w:rFonts w:ascii="仿宋_GB2312" w:eastAsia="仿宋_GB2312" w:hAnsi="仿宋_GB2312" w:cs="仿宋_GB2312" w:hint="eastAsia"/>
          <w:b/>
          <w:color w:val="auto"/>
          <w:sz w:val="32"/>
          <w:szCs w:val="32"/>
          <w:highlight w:val="none"/>
          <w:lang w:val="en-US" w:eastAsia="zh-CN" w:bidi="ar-SA"/>
        </w:rPr>
        <w:t xml:space="preserve">评价得分情况</w:t>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749"/>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824"/>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shd w:val="clear" w:color="auto" w:fill="FFFFFF"/>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35"/>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3866" w:type="dxa"/>
            <w:tcBorders>
              <w:top w:val="single" w:sz="4" w:space="0" w:color="auto"/>
              <w:left w:val="single" w:sz="4" w:space="0" w:color="auto"/>
              <w:right w:val="single" w:sz="4" w:space="0" w:color="auto"/>
            </w:tcBorders>
            <w:shd w:val="clear" w:color="auto" w:fill="FFFFFF"/>
            <w:noWrap w:val="0"/>
            <w:vAlign w:val="bottom"/>
          </w:tcPr>
          <w:p>
            <w:pPr>
              <w:pStyle w:val="Other|1"/>
              <w:spacing w:line="560" w:lineRule="exact"/>
              <w:ind w:firstLine="0"/>
              <w:jc w:val="left"/>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57"/>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2024年商品房网签备案专网使用费项目</w:t>
      </w:r>
      <w:r>
        <w:rPr>
          <w:rFonts w:ascii="仿宋_GB2312" w:hAnsi="仿宋_GB2312" w:cs="仿宋_GB2312" w:hint="eastAsia"/>
          <w:color w:val="auto"/>
          <w:sz w:val="32"/>
          <w:szCs w:val="32"/>
          <w:highlight w:val="none"/>
        </w:rPr>
        <w:t xml:space="preserve">资金达到了年初设立的绩效目标，在实施过程中取得了良好的成效，具体表现在以下几点：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随着信息技术的发展，政务信息化已成为政府部门提高服务水平和管理能力的重要手段。商品房网签备案专网的建设是阿图什市政务信息化建设的重要组成部分，有助于推动政府部门的数字化转型，提升政务服务的便捷性和高效性。</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val="en-US" w:eastAsia="zh-CN"/>
        </w:rPr>
        <w:t xml:space="preserve">本项目</w:t>
      </w:r>
      <w:r>
        <w:rPr>
          <w:rFonts w:ascii="仿宋_GB2312" w:hAnsi="仿宋_GB2312" w:cs="仿宋_GB2312" w:hint="eastAsia"/>
          <w:color w:val="auto"/>
          <w:sz w:val="32"/>
          <w:szCs w:val="32"/>
          <w:highlight w:val="none"/>
        </w:rPr>
        <w:t xml:space="preserve">已完成维护专网电缆线数量1条，缴纳网费12个月</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有效提高</w:t>
      </w:r>
      <w:r>
        <w:rPr>
          <w:rFonts w:ascii="仿宋_GB2312" w:hAnsi="仿宋_GB2312" w:cs="仿宋_GB2312" w:hint="eastAsia"/>
          <w:color w:val="auto"/>
          <w:sz w:val="32"/>
          <w:szCs w:val="32"/>
          <w:highlight w:val="none"/>
          <w:lang w:val="en-US" w:eastAsia="zh-CN"/>
        </w:rPr>
        <w:t xml:space="preserve">了</w:t>
      </w:r>
      <w:r>
        <w:rPr>
          <w:rFonts w:ascii="仿宋_GB2312" w:hAnsi="仿宋_GB2312" w:cs="仿宋_GB2312" w:hint="eastAsia"/>
          <w:color w:val="auto"/>
          <w:sz w:val="32"/>
          <w:szCs w:val="32"/>
          <w:highlight w:val="none"/>
        </w:rPr>
        <w:t xml:space="preserve">日常工作效率及公众服务能力，更好地服务人民群众。</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专网的使用</w:t>
      </w:r>
      <w:r>
        <w:rPr>
          <w:rFonts w:ascii="仿宋_GB2312" w:hAnsi="仿宋_GB2312" w:cs="仿宋_GB2312" w:hint="eastAsia"/>
          <w:color w:val="auto"/>
          <w:sz w:val="32"/>
          <w:szCs w:val="32"/>
          <w:highlight w:val="none"/>
          <w:lang w:val="en-US" w:eastAsia="zh-CN"/>
        </w:rPr>
        <w:t xml:space="preserve">有效</w:t>
      </w:r>
      <w:r>
        <w:rPr>
          <w:rFonts w:ascii="仿宋_GB2312" w:hAnsi="仿宋_GB2312" w:cs="仿宋_GB2312" w:hint="eastAsia"/>
          <w:color w:val="auto"/>
          <w:sz w:val="32"/>
          <w:szCs w:val="32"/>
          <w:highlight w:val="none"/>
        </w:rPr>
        <w:t xml:space="preserve">减少</w:t>
      </w:r>
      <w:r>
        <w:rPr>
          <w:rFonts w:ascii="仿宋_GB2312" w:hAnsi="仿宋_GB2312" w:cs="仿宋_GB2312" w:hint="eastAsia"/>
          <w:color w:val="auto"/>
          <w:sz w:val="32"/>
          <w:szCs w:val="32"/>
          <w:highlight w:val="none"/>
          <w:lang w:val="en-US" w:eastAsia="zh-CN"/>
        </w:rPr>
        <w:t xml:space="preserve">了</w:t>
      </w:r>
      <w:r>
        <w:rPr>
          <w:rFonts w:ascii="仿宋_GB2312" w:hAnsi="仿宋_GB2312" w:cs="仿宋_GB2312" w:hint="eastAsia"/>
          <w:color w:val="auto"/>
          <w:sz w:val="32"/>
          <w:szCs w:val="32"/>
          <w:highlight w:val="none"/>
        </w:rPr>
        <w:t xml:space="preserve">纸质文件的传递和保存，实现无纸化办公，降低行政成本，提高资源利用效率。</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w:t>
      </w:r>
      <w:r>
        <w:rPr>
          <w:rFonts w:ascii="仿宋_GB2312" w:eastAsia="仿宋_GB2312" w:hAnsi="仿宋" w:cs="宋体" w:hint="eastAsia"/>
          <w:color w:val="auto"/>
          <w:kern w:val="0"/>
          <w:sz w:val="32"/>
          <w:szCs w:val="32"/>
          <w:highlight w:val="none"/>
          <w:lang w:val="en-US" w:eastAsia="zh-CN" w:bidi="ar-SA"/>
        </w:rPr>
        <w:t xml:space="preserve">2024年商品房网签备案专网使用费项目</w:t>
      </w:r>
      <w:r>
        <w:rPr>
          <w:rFonts w:ascii="仿宋_GB2312" w:hAnsi="仿宋_GB2312" w:cs="仿宋_GB2312" w:hint="eastAsia"/>
          <w:color w:val="auto"/>
          <w:sz w:val="32"/>
          <w:szCs w:val="32"/>
          <w:highlight w:val="none"/>
        </w:rPr>
        <w:t xml:space="preserve">支出共计</w:t>
      </w:r>
      <w:r>
        <w:rPr>
          <w:rFonts w:ascii="仿宋_GB2312" w:hAnsi="仿宋_GB2312" w:cs="仿宋_GB2312" w:hint="eastAsia"/>
          <w:color w:val="auto"/>
          <w:sz w:val="32"/>
          <w:szCs w:val="32"/>
          <w:highlight w:val="none"/>
          <w:lang w:val="en-US" w:eastAsia="zh-CN"/>
        </w:rPr>
        <w:t xml:space="preserve">1.50</w:t>
      </w:r>
      <w:r>
        <w:rPr>
          <w:rFonts w:ascii="仿宋_GB2312" w:hAnsi="仿宋_GB2312" w:cs="仿宋_GB2312" w:hint="eastAsia"/>
          <w:color w:val="auto"/>
          <w:sz w:val="32"/>
          <w:szCs w:val="32"/>
          <w:highlight w:val="none"/>
        </w:rPr>
        <w:t xml:space="preserve">万元，评价得分值</w:t>
      </w:r>
      <w:r>
        <w:rPr>
          <w:rFonts w:ascii="仿宋_GB2312" w:hAnsi="仿宋_GB2312" w:cs="仿宋_GB2312" w:hint="eastAsia"/>
          <w:color w:val="auto"/>
          <w:sz w:val="32"/>
          <w:szCs w:val="32"/>
          <w:highlight w:val="none"/>
          <w:lang w:val="en-US" w:eastAsia="zh-CN"/>
        </w:rPr>
        <w:t xml:space="preserve">100</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w:t>
      </w:r>
      <w:r>
        <w:rPr>
          <w:rFonts w:ascii="仿宋_GB2312" w:hAnsi="仿宋" w:cs="宋体" w:hint="eastAsia"/>
          <w:color w:val="auto"/>
          <w:sz w:val="32"/>
          <w:szCs w:val="32"/>
          <w:highlight w:val="none"/>
          <w:lang w:val="en-US" w:eastAsia="zh-CN"/>
        </w:rPr>
        <w:t xml:space="preserve">严格</w:t>
      </w:r>
      <w:r>
        <w:rPr>
          <w:rFonts w:ascii="仿宋_GB2312" w:hAnsi="仿宋" w:cs="宋体" w:hint="eastAsia"/>
          <w:color w:val="auto"/>
          <w:sz w:val="32"/>
          <w:szCs w:val="32"/>
          <w:highlight w:val="none"/>
        </w:rPr>
        <w:t xml:space="preserve">按照规定的程序申请设立；审批文件、材料符合相关要求；项目前期已经过必要的可行性研究、专家论证、风险评估、绩效评估、集体决策。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w:t>
      </w:r>
      <w:r>
        <w:rPr>
          <w:rFonts w:ascii="仿宋_GB2312" w:hAnsi="仿宋" w:cs="宋体" w:hint="eastAsia"/>
          <w:color w:val="auto"/>
          <w:sz w:val="32"/>
          <w:szCs w:val="32"/>
          <w:highlight w:val="none"/>
          <w:lang w:val="en-US" w:eastAsia="zh-CN"/>
        </w:rPr>
        <w:t xml:space="preserve">绩效目标</w:t>
      </w:r>
      <w:r>
        <w:rPr>
          <w:rFonts w:ascii="仿宋_GB2312" w:hAnsi="仿宋" w:cs="宋体" w:hint="eastAsia"/>
          <w:color w:val="auto"/>
          <w:sz w:val="32"/>
          <w:szCs w:val="32"/>
          <w:highlight w:val="none"/>
        </w:rPr>
        <w:t xml:space="preserve">与实际工作内容相关；项目预期产出效益和效果符合正常的业绩水平；</w:t>
      </w:r>
      <w:r>
        <w:rPr>
          <w:rFonts w:ascii="仿宋_GB2312" w:hAnsi="仿宋" w:cs="宋体" w:hint="eastAsia"/>
          <w:color w:val="auto"/>
          <w:sz w:val="32"/>
          <w:szCs w:val="32"/>
          <w:highlight w:val="none"/>
          <w:lang w:val="en-US" w:eastAsia="zh-CN"/>
        </w:rPr>
        <w:t xml:space="preserve">目标设置</w:t>
      </w:r>
      <w:r>
        <w:rPr>
          <w:rFonts w:ascii="仿宋_GB2312" w:hAnsi="仿宋" w:cs="宋体" w:hint="eastAsia"/>
          <w:color w:val="auto"/>
          <w:sz w:val="32"/>
          <w:szCs w:val="32"/>
          <w:highlight w:val="none"/>
        </w:rPr>
        <w:t xml:space="preserve">与预算确定的项目投资额或资金量相匹配。</w:t>
      </w:r>
      <w:r>
        <w:rPr>
          <w:rFonts w:ascii="仿宋_GB2312" w:hAnsi="仿宋" w:cs="宋体" w:hint="eastAsia"/>
          <w:color w:val="auto"/>
          <w:sz w:val="32"/>
          <w:szCs w:val="32"/>
          <w:highlight w:val="none"/>
          <w:lang w:val="en-US" w:eastAsia="zh-CN"/>
        </w:rPr>
        <w:t xml:space="preserve">严格按照要求</w:t>
      </w:r>
      <w:r>
        <w:rPr>
          <w:rFonts w:ascii="仿宋_GB2312" w:hAnsi="仿宋" w:cs="宋体" w:hint="eastAsia"/>
          <w:color w:val="auto"/>
          <w:sz w:val="32"/>
          <w:szCs w:val="32"/>
          <w:highlight w:val="none"/>
        </w:rPr>
        <w:t xml:space="preserve">将项目绩效目标细化分解为具体的绩效指标</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eastAsia="zh-CN"/>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r>
        <w:rPr>
          <w:rFonts w:ascii="仿宋_GB2312" w:hAnsi="仿宋" w:cs="宋体" w:hint="eastAsia"/>
          <w:color w:val="auto"/>
          <w:sz w:val="32"/>
          <w:szCs w:val="32"/>
          <w:highlight w:val="none"/>
          <w:lang w:eastAsia="zh-CN"/>
        </w:rPr>
        <w:t xml:space="preserve">。</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及时支付，资金使用符合国家法规和财务管理制度；资金拨付有完整的审批程序和手续，符合项目预算批复或合同规定的用途；</w:t>
      </w:r>
      <w:r>
        <w:rPr>
          <w:rFonts w:ascii="仿宋_GB2312" w:hAnsi="仿宋" w:cs="宋体" w:hint="eastAsia"/>
          <w:color w:val="auto"/>
          <w:sz w:val="32"/>
          <w:szCs w:val="32"/>
          <w:highlight w:val="none"/>
          <w:lang w:val="en-US" w:eastAsia="zh-CN"/>
        </w:rPr>
        <w:t xml:space="preserve">不</w:t>
      </w:r>
      <w:r>
        <w:rPr>
          <w:rFonts w:ascii="仿宋_GB2312" w:hAnsi="仿宋" w:cs="宋体" w:hint="eastAsia"/>
          <w:color w:val="auto"/>
          <w:sz w:val="32"/>
          <w:szCs w:val="32"/>
          <w:highlight w:val="none"/>
        </w:rPr>
        <w:t xml:space="preserve">存在截留、挤占、挪用、虚列支出等情况。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w:t>
      </w:r>
      <w:r>
        <w:rPr>
          <w:rFonts w:ascii="仿宋_GB2312" w:hAnsi="仿宋_GB2312" w:cs="仿宋_GB2312" w:hint="eastAsia"/>
          <w:color w:val="auto"/>
          <w:sz w:val="32"/>
          <w:szCs w:val="32"/>
          <w:highlight w:val="none"/>
          <w:lang w:eastAsia="zh-CN"/>
        </w:rPr>
        <w:t xml:space="preserve">202</w:t>
      </w:r>
      <w:r>
        <w:rPr>
          <w:rFonts w:ascii="仿宋_GB2312" w:hAnsi="仿宋_GB2312" w:cs="仿宋_GB2312" w:hint="eastAsia"/>
          <w:color w:val="auto"/>
          <w:sz w:val="32"/>
          <w:szCs w:val="32"/>
          <w:highlight w:val="none"/>
          <w:lang w:val="en-US" w:eastAsia="zh-CN"/>
        </w:rPr>
        <w:t xml:space="preserve">5年</w:t>
      </w:r>
      <w:r>
        <w:rPr>
          <w:rFonts w:ascii="仿宋_GB2312" w:hAnsi="仿宋_GB2312" w:cs="仿宋_GB2312" w:hint="eastAsia"/>
          <w:color w:val="auto"/>
          <w:sz w:val="32"/>
          <w:szCs w:val="32"/>
          <w:highlight w:val="none"/>
        </w:rPr>
        <w:t xml:space="preserve">商品房网签备案专网使用费项目预算依据</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继而进行该项目支出预算的编制、执行和上报等工作。在项目预算的编制工程中，坚持履行政府职能方面的轻重缓急程度进行先后排序，坚持对2024年商品房网签备案专网使用费项目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w:t>
      </w:r>
      <w:r>
        <w:rPr>
          <w:rFonts w:ascii="仿宋_GB2312" w:hAnsi="仿宋_GB2312" w:cs="仿宋_GB2312" w:hint="eastAsia"/>
          <w:color w:val="auto"/>
          <w:sz w:val="32"/>
          <w:szCs w:val="32"/>
          <w:highlight w:val="none"/>
          <w:lang w:val="en-US" w:eastAsia="zh-CN"/>
        </w:rPr>
        <w:t xml:space="preserve">阿图什市</w:t>
      </w:r>
      <w:r>
        <w:rPr>
          <w:rFonts w:ascii="仿宋_GB2312" w:hAnsi="仿宋_GB2312" w:cs="仿宋_GB2312" w:hint="eastAsia"/>
          <w:color w:val="auto"/>
          <w:sz w:val="32"/>
          <w:szCs w:val="32"/>
          <w:highlight w:val="none"/>
        </w:rPr>
        <w:t xml:space="preserve">财政局从资金申请、资金使用、会计核算三个环节加强资金管理。在项目资金申请环节，负责科室严格按照国库集中支付流程向市财政局申请财政资金，我局通过召开党组会议确定2024年商品房网签备案专网使用费项目组织形式，明确了该项目经费的开支范围为</w:t>
      </w:r>
      <w:r>
        <w:rPr>
          <w:rFonts w:ascii="仿宋_GB2312" w:hAnsi="仿宋_GB2312" w:cs="仿宋_GB2312" w:hint="eastAsia"/>
          <w:color w:val="auto"/>
          <w:sz w:val="32"/>
          <w:szCs w:val="32"/>
          <w:highlight w:val="none"/>
          <w:lang w:val="en-US" w:eastAsia="zh-CN"/>
        </w:rPr>
        <w:t xml:space="preserve">网络服务费</w:t>
      </w:r>
      <w:r>
        <w:rPr>
          <w:rFonts w:ascii="仿宋_GB2312" w:hAnsi="仿宋_GB2312" w:cs="仿宋_GB2312" w:hint="eastAsia"/>
          <w:color w:val="auto"/>
          <w:sz w:val="32"/>
          <w:szCs w:val="32"/>
          <w:highlight w:val="none"/>
        </w:rPr>
        <w:t xml:space="preserve">，严格做到专款专用，责任到人。在资金使用环节，严格遵守相关规定，严格按照我局资金财务审批流程办理款项支付。在会计核算环节，对本项目资金实际单独核算，确保</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年初财政批复的</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资金预算指标整体导入，对预算指标按照项目分类，从数量、质量、时效、满意度等方面分别进行管理控制，监控、掌握预算实时信息，通过不定期检查预算执行情况，增强预算指标刚性。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）依照预算资金管理制度，按照不定期检查与项目周期检查相结合的方式，对</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的使用情况进行监督检查。重点督查专项资金的使用进度，资金落实情况，对发现的问题，采取措施及时纠正、强化管理，有效杜绝了专项资金在分配使用过程中的违纪违规现象的发生，确保专项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2024年商品房网签备案专网使用费项目</w:t>
      </w:r>
      <w:r>
        <w:rPr>
          <w:rFonts w:ascii="仿宋_GB2312" w:hAnsi="仿宋_GB2312" w:cs="仿宋_GB2312" w:hint="eastAsia"/>
          <w:color w:val="auto"/>
          <w:sz w:val="32"/>
          <w:szCs w:val="32"/>
          <w:highlight w:val="none"/>
        </w:rPr>
        <w:t xml:space="preserve">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（三）项目产出情况</w:t>
      </w:r>
    </w:p>
    <w:p>
      <w:pPr>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数量指标为维护专网电缆线数量，预期指标值是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1条，实际完成值是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1条，指标达到预期目标。</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数量指标为缴纳网费时间，预期指标值是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12个月，实际完成值是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12个月，指标达到预期目标。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2．</w:t>
      </w:r>
      <w:r>
        <w:rPr>
          <w:rFonts w:ascii="仿宋_GB2312" w:hint="eastAsia"/>
          <w:b/>
          <w:bCs w:val="0"/>
          <w:color w:val="auto"/>
          <w:sz w:val="32"/>
          <w:szCs w:val="32"/>
          <w:highlight w:val="none"/>
        </w:rPr>
        <w:t xml:space="preserve">质量指标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质量指标为网络故障率，预期指标值是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3%，实际完成值是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3%，指标达到预期目标。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质量指标为资金使用合规率，预期指标值是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0" w:firstLine="640" w:leftChars="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3．</w:t>
      </w:r>
      <w:r>
        <w:rPr>
          <w:rFonts w:ascii="仿宋_GB2312" w:hint="eastAsia"/>
          <w:b/>
          <w:color w:val="auto"/>
          <w:sz w:val="32"/>
          <w:szCs w:val="32"/>
          <w:highlight w:val="none"/>
        </w:rPr>
        <w:t xml:space="preserve">时效指标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600" w:leftChars="200"/>
        <w:jc w:val="both"/>
        <w:textAlignment w:val="auto"/>
        <w:rPr>
          <w:rFonts w:ascii="仿宋_GB2312"/>
          <w:color w:val="auto"/>
          <w:sz w:val="32"/>
          <w:szCs w:val="32"/>
          <w:highlight w:val="none"/>
        </w:rPr>
      </w:pPr>
      <w:r>
        <w:rPr>
          <w:rFonts w:ascii="仿宋_GB2312" w:hint="eastAsia"/>
          <w:color w:val="auto"/>
          <w:sz w:val="32"/>
          <w:szCs w:val="32"/>
          <w:highlight w:val="none"/>
        </w:rPr>
        <w:t xml:space="preserve">时效指标为项目完成时间，预期指标值是2024年12月，实际完成值是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2024年12月，指标达到预期目标。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成本指标为通讯费，预期指标值是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0.45万元，实际完成值是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0.45万元，指标达到预期目标。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color w:val="auto"/>
          <w:sz w:val="32"/>
          <w:szCs w:val="32"/>
          <w:highlight w:val="none"/>
        </w:rPr>
      </w:pPr>
      <w:r>
        <w:rPr>
          <w:rFonts w:ascii="仿宋_GB2312" w:hint="eastAsia"/>
          <w:color w:val="auto"/>
          <w:sz w:val="32"/>
          <w:szCs w:val="32"/>
          <w:highlight w:val="none"/>
        </w:rPr>
        <w:t xml:space="preserve">成本指标为缴纳网费成本，预期指标值是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0.96万元，实际完成值是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0.96万元，指标达到预期目标。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楷体" w:eastAsia="楷体" w:hAnsi="楷体" w:cs="宋体"/>
          <w:b/>
          <w:bCs w:val="0"/>
          <w:color w:val="auto"/>
          <w:sz w:val="32"/>
          <w:szCs w:val="32"/>
          <w:highlight w:val="none"/>
        </w:rPr>
      </w:pPr>
      <w:r>
        <w:rPr>
          <w:rFonts w:ascii="楷体" w:eastAsia="楷体" w:hAnsi="楷体" w:cs="宋体" w:hint="eastAsia"/>
          <w:b/>
          <w:bCs w:val="0"/>
          <w:color w:val="auto"/>
          <w:sz w:val="32"/>
          <w:szCs w:val="32"/>
          <w:highlight w:val="none"/>
        </w:rPr>
        <w:t xml:space="preserve">（四）项目效益情况</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b/>
          <w:bCs/>
          <w:color w:val="auto"/>
          <w:sz w:val="32"/>
          <w:szCs w:val="32"/>
          <w:highlight w:val="none"/>
        </w:rPr>
        <w:t xml:space="preserve"> </w:t>
      </w:r>
      <w:r>
        <w:rPr>
          <w:rFonts w:ascii="仿宋_GB2312" w:hAnsi="仿宋" w:cs="宋体" w:hint="eastAsia"/>
          <w:b/>
          <w:bCs/>
          <w:color w:val="auto"/>
          <w:sz w:val="32"/>
          <w:szCs w:val="32"/>
          <w:highlight w:val="none"/>
        </w:rPr>
        <w:t xml:space="preserve">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eastAsia="仿宋_GB2312" w:hint="eastAsia"/>
          <w:color w:val="auto"/>
          <w:sz w:val="32"/>
          <w:szCs w:val="32"/>
          <w:highlight w:val="none"/>
          <w:lang w:eastAsia="zh-CN"/>
        </w:rPr>
      </w:pPr>
      <w:r>
        <w:rPr>
          <w:rFonts w:ascii="仿宋_GB2312" w:hAnsi="仿宋" w:cs="宋体" w:hint="eastAsia"/>
          <w:bCs/>
          <w:color w:val="auto"/>
          <w:sz w:val="32"/>
          <w:szCs w:val="32"/>
          <w:highlight w:val="none"/>
          <w:lang w:val="en-US" w:eastAsia="zh-CN"/>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项目实施产生的社会效益</w:t>
      </w:r>
      <w:r>
        <w:rPr>
          <w:rFonts w:ascii="仿宋_GB2312" w:hint="eastAsia"/>
          <w:color w:val="auto"/>
          <w:sz w:val="32"/>
          <w:szCs w:val="32"/>
          <w:highlight w:val="none"/>
        </w:rPr>
        <w:t xml:space="preserve">指标为提高工作效率及公众服务能力，预期指标值是有效提升，实际完成值是有效提升，指标达到预期目标。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eastAsia="仿宋_GB2312" w:hint="eastAsia"/>
          <w:color w:val="auto"/>
          <w:sz w:val="32"/>
          <w:szCs w:val="32"/>
          <w:highlight w:val="none"/>
          <w:lang w:eastAsia="zh-CN"/>
        </w:rPr>
      </w:pPr>
      <w:r>
        <w:rPr>
          <w:rFonts w:ascii="仿宋_GB2312" w:hAnsi="仿宋" w:cs="宋体" w:hint="eastAsia"/>
          <w:bCs/>
          <w:color w:val="auto"/>
          <w:sz w:val="32"/>
          <w:szCs w:val="32"/>
          <w:highlight w:val="none"/>
          <w:lang w:val="en-US" w:eastAsia="zh-CN"/>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lang w:val="en-US" w:eastAsia="zh-CN"/>
        </w:rPr>
        <w:t xml:space="preserve">4</w:t>
      </w:r>
      <w:r>
        <w:rPr>
          <w:rFonts w:ascii="仿宋_GB2312" w:hAnsi="仿宋" w:cs="宋体" w:hint="eastAsia"/>
          <w:b/>
          <w:bCs/>
          <w:color w:val="auto"/>
          <w:sz w:val="32"/>
          <w:szCs w:val="32"/>
          <w:highlight w:val="none"/>
        </w:rPr>
        <w:t xml:space="preserve">．满意度指标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满意度指标为工作人员满意度，预期指标值是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95%，实际完成值是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95%，指标达到预期目标。</w:t>
      </w:r>
    </w:p>
    <w:p>
      <w:pPr>
        <w:pStyle w:val="Heading4"/>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黑体" w:eastAsia="黑体" w:hAnsi="黑体" w:cs="仿宋_GB2312" w:hint="eastAsia"/>
          <w:b w:val="0"/>
          <w:bCs w:val="0"/>
          <w:color w:val="auto"/>
          <w:kern w:val="2"/>
          <w:sz w:val="32"/>
          <w:szCs w:val="32"/>
          <w:highlight w:val="none"/>
          <w:lang w:val="en-US" w:eastAsia="zh-CN" w:bidi="ar-SA"/>
        </w:rPr>
      </w:pPr>
      <w:r>
        <w:rPr>
          <w:rFonts w:ascii="黑体" w:eastAsia="黑体" w:hAnsi="黑体" w:cs="仿宋_GB2312" w:hint="default"/>
          <w:b w:val="0"/>
          <w:bCs w:val="0"/>
          <w:color w:val="auto"/>
          <w:kern w:val="2"/>
          <w:sz w:val="32"/>
          <w:szCs w:val="32"/>
          <w:highlight w:val="none"/>
          <w:lang w:val="en-US" w:eastAsia="zh-CN" w:bidi="ar-SA"/>
        </w:rPr>
        <w:t xml:space="preserve">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本项目实施效果较好的原因主要是管理制度完善、责任落实到位，跟踪考核机制完善且运行有效，在项目实施过程中创新管理办法，使项目取得了良好的效果</w:t>
      </w:r>
      <w:r>
        <w:rPr>
          <w:rFonts w:hint="eastAsia"/>
          <w:b w:val="0"/>
          <w:color w:val="auto"/>
          <w:highlight w:val="none"/>
          <w:lang w:eastAsia="zh-CN"/>
        </w:rPr>
        <w:t xml:space="preserve">。</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hAnsi="Cambria" w:cs="Times New Roman" w:hint="eastAsia"/>
          <w:b w:val="0"/>
          <w:bCs w:val="0"/>
          <w:color w:val="auto"/>
          <w:kern w:val="2"/>
          <w:sz w:val="32"/>
          <w:szCs w:val="32"/>
          <w:highlight w:val="none"/>
          <w:lang w:val="en-US" w:eastAsia="zh-CN" w:bidi="ar-SA"/>
        </w:rPr>
      </w:pPr>
      <w:r>
        <w:rPr>
          <w:rFonts w:ascii="仿宋_GB2312" w:eastAsia="仿宋_GB2312" w:hAnsi="Cambria" w:cs="Times New Roman" w:hint="eastAsia"/>
          <w:b w:val="0"/>
          <w:bCs w:val="0"/>
          <w:color w:val="auto"/>
          <w:kern w:val="2"/>
          <w:sz w:val="32"/>
          <w:szCs w:val="32"/>
          <w:highlight w:val="none"/>
          <w:lang w:val="en-US" w:eastAsia="zh-CN" w:bidi="ar-SA"/>
        </w:rPr>
        <w:t xml:space="preserve">无。</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六、有关建议</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预算编制工作，认真做好预算的编制。全面编制预算项目，优先保障固定性的、相对刚性的费用支出项目，尽量压缩变动性的、有控制空间的费用项目，进一步提高预算编制的科学性、严谨性和可控性。</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ascii="仿宋_GB2312" w:eastAsia="仿宋_GB2312" w:hAnsi="仿宋" w:cs="宋体" w:hint="eastAsia"/>
          <w:b w:val="0"/>
          <w:color w:val="auto"/>
          <w:kern w:val="2"/>
          <w:highlight w:val="none"/>
        </w:rPr>
        <w:t xml:space="preserve">健全制度，加强督促。针对项目实施中存在的问题，进一步完善相关制度，加强督促检查，确保质量安全和建设进度；同时及时完善资料。</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七</w:t>
      </w:r>
      <w:r>
        <w:rPr>
          <w:rFonts w:ascii="黑体" w:eastAsia="黑体" w:hAnsi="黑体" w:hint="eastAsia"/>
          <w:b w:val="0"/>
          <w:bCs w:val="0"/>
          <w:color w:val="auto"/>
          <w:highlight w:val="none"/>
        </w:rPr>
        <w:t xml:space="preserve">、其他需要说明的问题</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lang w:eastAsia="zh-CN"/>
        </w:rPr>
      </w:pPr>
      <w:r>
        <w:rPr>
          <w:rFonts w:ascii="仿宋_GB2312" w:eastAsia="仿宋_GB2312" w:hAnsi="仿宋" w:cs="宋体" w:hint="eastAsia"/>
          <w:b w:val="0"/>
          <w:color w:val="auto"/>
          <w:kern w:val="2"/>
          <w:highlight w:val="none"/>
          <w:lang w:val="en-US" w:eastAsia="zh-CN"/>
        </w:rPr>
        <w:t xml:space="preserve">无。</w:t>
      </w: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shd w:val="clear" w:color="auto" w:fill="FFFFFF"/>
            <w:noWrap w:val="0"/>
            <w:vAlign w:val="center"/>
          </w:tcPr>
          <w:p>
            <w:pPr>
              <w:spacing w:line="400" w:lineRule="exact"/>
              <w:jc w:val="center"/>
              <w:rPr>
                <w:rFonts w:ascii="仿宋_GB2312" w:eastAsia="仿宋_GB2312" w:hAnsi="仿宋_GB2312" w:cs="仿宋_GB2312" w:hint="eastAsia"/>
                <w:color w:val="auto"/>
                <w:sz w:val="24"/>
                <w:highlight w:val="none"/>
                <w:lang w:eastAsia="zh-CN"/>
              </w:rPr>
            </w:pPr>
            <w:r>
              <w:rPr>
                <w:rFonts w:ascii="仿宋_GB2312" w:hAnsi="仿宋_GB2312" w:cs="仿宋_GB2312" w:hint="eastAsia"/>
                <w:color w:val="auto"/>
                <w:sz w:val="24"/>
                <w:highlight w:val="none"/>
                <w:lang w:val="en-US" w:eastAsia="zh-CN"/>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shd w:val="clear" w:color="auto" w:fill="FFFFFF"/>
            <w:noWrap w:val="0"/>
            <w:vAlign w:val="center"/>
          </w:tcPr>
          <w:p>
            <w:pPr>
              <w:widowControl/>
              <w:spacing w:line="400" w:lineRule="exact"/>
              <w:jc w:val="center"/>
              <w:rPr>
                <w:rFonts w:ascii="仿宋_GB2312" w:eastAsia="仿宋_GB2312" w:hAnsi="仿宋_GB2312" w:cs="仿宋_GB2312" w:hint="default"/>
                <w:color w:val="auto"/>
                <w:kern w:val="0"/>
                <w:sz w:val="24"/>
                <w:highlight w:val="none"/>
                <w:lang w:val="en-US" w:eastAsia="zh-CN"/>
              </w:rPr>
            </w:pPr>
            <w:r>
              <w:rPr>
                <w:rFonts w:ascii="仿宋_GB2312" w:hAnsi="仿宋_GB2312" w:cs="仿宋_GB2312" w:hint="eastAsia"/>
                <w:color w:val="auto"/>
                <w:kern w:val="0"/>
                <w:sz w:val="24"/>
                <w:highlight w:val="none"/>
                <w:lang w:val="en-US" w:eastAsia="zh-CN"/>
              </w:rPr>
              <w:t xml:space="preserve">100</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qFormat="1"/>
    <w:lsdException w:name="heading 3" w:semiHidden="0" w:unhideWhenUsed="0" w:qFormat="1"/>
    <w:lsdException w:name="heading 4" w:semiHidden="0"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Char"/>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Char"/>
    <w:unhideWhenUsed/>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unhideWhenUsed/>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Char">
    <w:name w:val="标题 1 Char"/>
    <w:basedOn w:val="DefaultParagraphFont"/>
    <w:link w:val="Heading1"/>
    <w:rPr>
      <w:rFonts w:eastAsia="仿宋_GB2312"/>
      <w:b/>
      <w:bCs/>
      <w:kern w:val="44"/>
      <w:sz w:val="44"/>
      <w:szCs w:val="44"/>
    </w:rPr>
  </w:style>
  <w:style w:type="character" w:customStyle="1" w:styleId="标题2Char">
    <w:name w:val="标题 2 Char"/>
    <w:basedOn w:val="DefaultParagraphFont"/>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paragraph" w:customStyle="1" w:styleId="标题2">
    <w:name w:val="标题2"/>
    <w:basedOn w:val="Heading2"/>
    <w:qFormat/>
    <w:pPr>
      <w:numPr>
        <w:ilvl w:val="0"/>
        <w:numId w:val="4"/>
      </w:numPr>
      <w:spacing w:before="120" w:after="120" w:line="500" w:lineRule="exact"/>
    </w:pPr>
    <w:rPr>
      <w:rFonts w:ascii="仿宋_GB2312" w:eastAsia="仿宋_GB2312" w:cs="Times New Roman"/>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C0E02AA436D94C30836DED29B2496F3E_13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29</TotalTime>
  <Pages>19</Pages>
  <Words>8531</Words>
  <Characters>8740</Characters>
  <Application>WPS Office_12.1.0.15120_F1E327BC-269C-435d-A152-05C5408002CA</Application>
  <DocSecurity>0</DocSecurity>
  <Lines>56</Lines>
  <Paragraphs>15</Paragraphs>
  <Company>P R C</Company>
  <CharactersWithSpaces>8750</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62</cp:revision>
  <dcterms:created xsi:type="dcterms:W3CDTF">2020-05-07T10:25:00Z</dcterms:created>
  <dcterms:modified xsi:type="dcterms:W3CDTF">2025-09-05T07:55:31Z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C0E02AA436D94C30836DED29B2496F3E_13</vt:lpwstr>
  </property>
  <property fmtid="{D5CDD505-2E9C-101B-9397-08002B2CF9AE}" pid="4" name="KSOTemplateDocerSaveRecord">
    <vt:lpwstr>eyJoZGlkIjoiYzZkNzQ4ZWFiZmQ4NTRhOWRkZTk3YTMwMjlmMmZhYmUiLCJ1c2VySWQiOiI1NzgxMjU4NDIifQ_x003D__x003D_</vt:lpwstr>
  </property>
</Properties>
</file>