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阿图什市房地产服务中心2024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1.贯彻执行国家、自治区、自治州有关房产法律、法规和方针、政策，拟定全市房产管理地方性文件、实施办法，并组织全面实施。</w:t>
      </w:r>
    </w:p>
    <w:p>
      <w:pPr>
        <w:spacing w:line="580" w:lineRule="exact"/>
        <w:ind w:firstLine="640"/>
        <w:jc w:val="both"/>
      </w:pPr>
      <w:r>
        <w:rPr>
          <w:rFonts w:ascii="仿宋_GB2312" w:hAnsi="仿宋_GB2312" w:eastAsia="仿宋_GB2312"/>
          <w:sz w:val="32"/>
        </w:rPr>
        <w:t>2.负责全市房地产开发、交易市场的服务管理</w:t>
      </w:r>
      <w:r>
        <w:rPr>
          <w:rFonts w:hint="eastAsia" w:ascii="仿宋_GB2312" w:hAnsi="仿宋_GB2312" w:eastAsia="仿宋_GB2312"/>
          <w:sz w:val="32"/>
          <w:lang w:eastAsia="zh-CN"/>
        </w:rPr>
        <w:t>；</w:t>
      </w:r>
      <w:r>
        <w:rPr>
          <w:rFonts w:ascii="仿宋_GB2312" w:hAnsi="仿宋_GB2312" w:eastAsia="仿宋_GB2312"/>
          <w:sz w:val="32"/>
        </w:rPr>
        <w:t>负责整顿、规范</w:t>
      </w:r>
      <w:r>
        <w:rPr>
          <w:rFonts w:hint="eastAsia" w:ascii="仿宋_GB2312" w:hAnsi="仿宋_GB2312" w:eastAsia="仿宋_GB2312"/>
          <w:sz w:val="32"/>
          <w:lang w:eastAsia="zh-CN"/>
        </w:rPr>
        <w:t>房地</w:t>
      </w:r>
      <w:r>
        <w:rPr>
          <w:rFonts w:ascii="仿宋_GB2312" w:hAnsi="仿宋_GB2312" w:eastAsia="仿宋_GB2312"/>
          <w:sz w:val="32"/>
        </w:rPr>
        <w:t>产市场</w:t>
      </w:r>
      <w:r>
        <w:rPr>
          <w:rFonts w:hint="eastAsia" w:ascii="仿宋_GB2312" w:hAnsi="仿宋_GB2312" w:eastAsia="仿宋_GB2312"/>
          <w:sz w:val="32"/>
          <w:lang w:eastAsia="zh-CN"/>
        </w:rPr>
        <w:t>；</w:t>
      </w:r>
      <w:r>
        <w:rPr>
          <w:rFonts w:ascii="仿宋_GB2312" w:hAnsi="仿宋_GB2312" w:eastAsia="仿宋_GB2312"/>
          <w:sz w:val="32"/>
        </w:rPr>
        <w:t>负责房地产中介服务指导与管理。</w:t>
      </w:r>
    </w:p>
    <w:p>
      <w:pPr>
        <w:spacing w:line="580" w:lineRule="exact"/>
        <w:ind w:firstLine="640"/>
        <w:jc w:val="both"/>
      </w:pPr>
      <w:r>
        <w:rPr>
          <w:rFonts w:ascii="仿宋_GB2312" w:hAnsi="仿宋_GB2312" w:eastAsia="仿宋_GB2312"/>
          <w:sz w:val="32"/>
        </w:rPr>
        <w:t>3.负责全市房屋产权产籍、抵押等管理工作、房地产评估、测绘服务管理、商品房预</w:t>
      </w:r>
      <w:r>
        <w:rPr>
          <w:rFonts w:hint="eastAsia" w:ascii="仿宋_GB2312" w:hAnsi="仿宋_GB2312" w:eastAsia="仿宋_GB2312"/>
          <w:sz w:val="32"/>
          <w:lang w:eastAsia="zh-CN"/>
        </w:rPr>
        <w:t>（</w:t>
      </w:r>
      <w:r>
        <w:rPr>
          <w:rFonts w:ascii="仿宋_GB2312" w:hAnsi="仿宋_GB2312" w:eastAsia="仿宋_GB2312"/>
          <w:sz w:val="32"/>
        </w:rPr>
        <w:t>销)售管理和房屋网签备案。</w:t>
      </w:r>
    </w:p>
    <w:p>
      <w:pPr>
        <w:spacing w:line="580" w:lineRule="exact"/>
        <w:ind w:firstLine="640"/>
        <w:jc w:val="both"/>
      </w:pPr>
      <w:r>
        <w:rPr>
          <w:rFonts w:ascii="仿宋_GB2312" w:hAnsi="仿宋_GB2312" w:eastAsia="仿宋_GB2312"/>
          <w:sz w:val="32"/>
        </w:rPr>
        <w:t>4.负责城市物业管理工作的协调、指导</w:t>
      </w:r>
      <w:r>
        <w:rPr>
          <w:rFonts w:hint="eastAsia" w:ascii="仿宋_GB2312" w:hAnsi="仿宋_GB2312" w:eastAsia="仿宋_GB2312"/>
          <w:sz w:val="32"/>
          <w:lang w:eastAsia="zh-CN"/>
        </w:rPr>
        <w:t>，</w:t>
      </w:r>
      <w:r>
        <w:rPr>
          <w:rFonts w:ascii="仿宋_GB2312" w:hAnsi="仿宋_GB2312" w:eastAsia="仿宋_GB2312"/>
          <w:sz w:val="32"/>
        </w:rPr>
        <w:t>管理物业企业</w:t>
      </w:r>
      <w:r>
        <w:rPr>
          <w:rFonts w:hint="eastAsia" w:ascii="仿宋_GB2312" w:hAnsi="仿宋_GB2312" w:eastAsia="仿宋_GB2312"/>
          <w:sz w:val="32"/>
          <w:lang w:eastAsia="zh-CN"/>
        </w:rPr>
        <w:t>；</w:t>
      </w:r>
      <w:r>
        <w:rPr>
          <w:rFonts w:ascii="仿宋_GB2312" w:hAnsi="仿宋_GB2312" w:eastAsia="仿宋_GB2312"/>
          <w:sz w:val="32"/>
        </w:rPr>
        <w:t>负责住宅专项维修资金的归集管理并监督使用。</w:t>
      </w:r>
    </w:p>
    <w:p>
      <w:pPr>
        <w:spacing w:line="580" w:lineRule="exact"/>
        <w:ind w:firstLine="640"/>
        <w:jc w:val="both"/>
      </w:pPr>
      <w:r>
        <w:rPr>
          <w:rFonts w:ascii="仿宋_GB2312" w:hAnsi="仿宋_GB2312" w:eastAsia="仿宋_GB2312"/>
          <w:sz w:val="32"/>
        </w:rPr>
        <w:t>5.承办市人民政府交办的其他事项。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阿图什市房地产服务中心2024年度，实有人数16人，其中：在职人员10人，减少1人；离休人员0人，增加0人；退休人员6人,增加0人。</w:t>
      </w:r>
    </w:p>
    <w:p>
      <w:pPr>
        <w:spacing w:line="580" w:lineRule="exact"/>
        <w:ind w:firstLine="640"/>
        <w:jc w:val="both"/>
      </w:pPr>
      <w:r>
        <w:rPr>
          <w:rFonts w:ascii="仿宋_GB2312" w:hAnsi="仿宋_GB2312" w:eastAsia="仿宋_GB2312"/>
          <w:sz w:val="32"/>
        </w:rPr>
        <w:t>阿图什市房地产服务中心无下属预算单位，下设2个科室，分别是：业务科、物业管理办公室。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2024年度收入总计198.24万元，</w:t>
      </w:r>
      <w:r>
        <w:rPr>
          <w:rFonts w:ascii="仿宋_GB2312" w:hAnsi="仿宋_GB2312" w:eastAsia="仿宋_GB2312"/>
          <w:b w:val="0"/>
          <w:sz w:val="32"/>
        </w:rPr>
        <w:t>其中：本年收入合计198.24万元，使用非财政拨款结余（含专用结余）0.00万元，年初结转和结余0.00万元。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2024年度支出总计198.24万元，</w:t>
      </w:r>
      <w:r>
        <w:rPr>
          <w:rFonts w:ascii="仿宋_GB2312" w:hAnsi="仿宋_GB2312" w:eastAsia="仿宋_GB2312"/>
          <w:b w:val="0"/>
          <w:sz w:val="32"/>
        </w:rPr>
        <w:t>其中：本年支出合计198.24万元，结余分配0.00万元，年末结转和结余0.00万元。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收入支出总体与上年相比，增加2.80万元，增长1.43%，主要原因是：</w:t>
      </w:r>
      <w:r>
        <w:rPr>
          <w:rFonts w:hint="eastAsia" w:ascii="仿宋_GB2312" w:hAnsi="仿宋_GB2312" w:eastAsia="仿宋_GB2312"/>
          <w:b w:val="0"/>
          <w:sz w:val="32"/>
          <w:lang w:val="en-US" w:eastAsia="zh-CN"/>
        </w:rPr>
        <w:t>本年增加死亡人员</w:t>
      </w:r>
      <w:r>
        <w:rPr>
          <w:rFonts w:ascii="仿宋_GB2312" w:hAnsi="仿宋_GB2312" w:eastAsia="仿宋_GB2312"/>
          <w:b w:val="0"/>
          <w:sz w:val="32"/>
        </w:rPr>
        <w:t>丧葬费及抚恤金。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本年收入198.24万元，</w:t>
      </w:r>
      <w:r>
        <w:rPr>
          <w:rFonts w:ascii="仿宋_GB2312" w:hAnsi="仿宋_GB2312" w:eastAsia="仿宋_GB2312"/>
          <w:b w:val="0"/>
          <w:sz w:val="32"/>
        </w:rPr>
        <w:t>其中：财政拨款收入198.24万元，占100.00%；上级补助收入0.00万元，占0.00%；事业收入0.00万元，占0.00%；经营收入0.00万元，占0.00%；附属单位上缴收入0.00万元，占0.00%；其他收入0.00万元，占0.00%。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本年支出198.24万元，</w:t>
      </w:r>
      <w:r>
        <w:rPr>
          <w:rFonts w:ascii="仿宋_GB2312" w:hAnsi="仿宋_GB2312" w:eastAsia="仿宋_GB2312"/>
          <w:b w:val="0"/>
          <w:sz w:val="32"/>
        </w:rPr>
        <w:t>其中：基本支出196.74万元，占99.24%；项目支出1.50万元，占0.76%；上缴上级支出0.00万元，占0.00%；经营支出0.00万元，占0.00%；对附属单位补助支出0.00万元，占0.00%。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2024年度财政拨款收入总计198.24万元，</w:t>
      </w:r>
      <w:r>
        <w:rPr>
          <w:rFonts w:ascii="仿宋_GB2312" w:hAnsi="仿宋_GB2312" w:eastAsia="仿宋_GB2312"/>
          <w:b w:val="0"/>
          <w:sz w:val="32"/>
        </w:rPr>
        <w:t>其中：年初财政拨款结转和结余0.00万元，本年财政拨款收入198.24万元。</w:t>
      </w:r>
      <w:r>
        <w:rPr>
          <w:rFonts w:ascii="仿宋_GB2312" w:hAnsi="仿宋_GB2312" w:eastAsia="仿宋_GB2312"/>
          <w:b/>
          <w:sz w:val="32"/>
        </w:rPr>
        <w:t>财政拨款支出总计198.24万元，</w:t>
      </w:r>
      <w:r>
        <w:rPr>
          <w:rFonts w:ascii="仿宋_GB2312" w:hAnsi="仿宋_GB2312" w:eastAsia="仿宋_GB2312"/>
          <w:b w:val="0"/>
          <w:sz w:val="32"/>
        </w:rPr>
        <w:t>其中：年末财政拨款结转和结余0.00万元，本年财政拨款支出198.24万元。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增加2.80万元，增长1.43%，主要原因是：</w:t>
      </w:r>
      <w:r>
        <w:rPr>
          <w:rFonts w:hint="eastAsia" w:ascii="仿宋_GB2312" w:hAnsi="仿宋_GB2312" w:eastAsia="仿宋_GB2312"/>
          <w:b w:val="0"/>
          <w:sz w:val="32"/>
          <w:lang w:val="en-US" w:eastAsia="zh-CN"/>
        </w:rPr>
        <w:t>本年增加死亡人员</w:t>
      </w:r>
      <w:r>
        <w:rPr>
          <w:rFonts w:ascii="仿宋_GB2312" w:hAnsi="仿宋_GB2312" w:eastAsia="仿宋_GB2312"/>
          <w:b w:val="0"/>
          <w:sz w:val="32"/>
        </w:rPr>
        <w:t>丧葬费及抚恤金。</w:t>
      </w:r>
      <w:r>
        <w:rPr>
          <w:rFonts w:ascii="仿宋_GB2312" w:hAnsi="仿宋_GB2312" w:eastAsia="仿宋_GB2312"/>
          <w:b/>
          <w:sz w:val="32"/>
        </w:rPr>
        <w:t>与年初预算相比，</w:t>
      </w:r>
      <w:r>
        <w:rPr>
          <w:rFonts w:ascii="仿宋_GB2312" w:hAnsi="仿宋_GB2312" w:eastAsia="仿宋_GB2312"/>
          <w:b w:val="0"/>
          <w:sz w:val="32"/>
        </w:rPr>
        <w:t>年初预算数189.33万元，决算数198.24万元，预决算差异率4.71%，主要原因是：年中追加</w:t>
      </w:r>
      <w:r>
        <w:rPr>
          <w:rFonts w:hint="eastAsia" w:ascii="仿宋_GB2312" w:hAnsi="仿宋_GB2312" w:eastAsia="仿宋_GB2312"/>
          <w:b w:val="0"/>
          <w:sz w:val="32"/>
          <w:lang w:val="en-US" w:eastAsia="zh-CN"/>
        </w:rPr>
        <w:t>死亡</w:t>
      </w:r>
      <w:r>
        <w:rPr>
          <w:rFonts w:ascii="仿宋_GB2312" w:hAnsi="仿宋_GB2312" w:eastAsia="仿宋_GB2312"/>
          <w:b w:val="0"/>
          <w:sz w:val="32"/>
        </w:rPr>
        <w:t>人员</w:t>
      </w:r>
      <w:r>
        <w:rPr>
          <w:rFonts w:hint="eastAsia" w:ascii="仿宋_GB2312" w:hAnsi="仿宋_GB2312" w:eastAsia="仿宋_GB2312"/>
          <w:b w:val="0"/>
          <w:sz w:val="32"/>
          <w:lang w:val="en-US" w:eastAsia="zh-CN"/>
        </w:rPr>
        <w:t>抚恤金</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2024年度一般公共预算财政拨款支出198.24万元，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增加2.80万元，增长1.43%，主要原因是：</w:t>
      </w:r>
      <w:r>
        <w:rPr>
          <w:rFonts w:hint="eastAsia" w:ascii="仿宋_GB2312" w:hAnsi="仿宋_GB2312" w:eastAsia="仿宋_GB2312"/>
          <w:b w:val="0"/>
          <w:sz w:val="32"/>
          <w:lang w:val="en-US" w:eastAsia="zh-CN"/>
        </w:rPr>
        <w:t>本年增加死亡人员</w:t>
      </w:r>
      <w:r>
        <w:rPr>
          <w:rFonts w:ascii="仿宋_GB2312" w:hAnsi="仿宋_GB2312" w:eastAsia="仿宋_GB2312"/>
          <w:b w:val="0"/>
          <w:sz w:val="32"/>
        </w:rPr>
        <w:t>丧葬费及抚恤金。</w:t>
      </w:r>
      <w:r>
        <w:rPr>
          <w:rFonts w:ascii="仿宋_GB2312" w:hAnsi="仿宋_GB2312" w:eastAsia="仿宋_GB2312"/>
          <w:b/>
          <w:sz w:val="32"/>
        </w:rPr>
        <w:t>与年初预算相比,</w:t>
      </w:r>
      <w:r>
        <w:rPr>
          <w:rFonts w:ascii="仿宋_GB2312" w:hAnsi="仿宋_GB2312" w:eastAsia="仿宋_GB2312"/>
          <w:b w:val="0"/>
          <w:sz w:val="32"/>
        </w:rPr>
        <w:t>年初预算数189.33万元，决算数198.24万元，预决算差异率4.71%，主要原因是：年中追加</w:t>
      </w:r>
      <w:r>
        <w:rPr>
          <w:rFonts w:hint="eastAsia" w:ascii="仿宋_GB2312" w:hAnsi="仿宋_GB2312" w:eastAsia="仿宋_GB2312"/>
          <w:b w:val="0"/>
          <w:sz w:val="32"/>
          <w:lang w:val="en-US" w:eastAsia="zh-CN"/>
        </w:rPr>
        <w:t>死亡</w:t>
      </w:r>
      <w:bookmarkStart w:id="0" w:name="_GoBack"/>
      <w:bookmarkEnd w:id="0"/>
      <w:r>
        <w:rPr>
          <w:rFonts w:ascii="仿宋_GB2312" w:hAnsi="仿宋_GB2312" w:eastAsia="仿宋_GB2312"/>
          <w:b w:val="0"/>
          <w:sz w:val="32"/>
        </w:rPr>
        <w:t>人员</w:t>
      </w:r>
      <w:r>
        <w:rPr>
          <w:rFonts w:hint="eastAsia" w:ascii="仿宋_GB2312" w:hAnsi="仿宋_GB2312" w:eastAsia="仿宋_GB2312"/>
          <w:b w:val="0"/>
          <w:sz w:val="32"/>
          <w:lang w:val="en-US" w:eastAsia="zh-CN"/>
        </w:rPr>
        <w:t>抚恤金</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1.社会保障和就业支出(类)23.74万元,占11.98%。</w:t>
      </w:r>
    </w:p>
    <w:p>
      <w:pPr>
        <w:spacing w:line="580" w:lineRule="exact"/>
        <w:ind w:firstLine="640"/>
        <w:jc w:val="both"/>
      </w:pPr>
      <w:r>
        <w:rPr>
          <w:rFonts w:ascii="仿宋_GB2312" w:hAnsi="仿宋_GB2312" w:eastAsia="仿宋_GB2312"/>
          <w:b w:val="0"/>
          <w:sz w:val="32"/>
        </w:rPr>
        <w:t>2.卫生健康支出(类)4.87万元,占2.46%。</w:t>
      </w:r>
    </w:p>
    <w:p>
      <w:pPr>
        <w:spacing w:line="580" w:lineRule="exact"/>
        <w:ind w:firstLine="640"/>
        <w:jc w:val="both"/>
      </w:pPr>
      <w:r>
        <w:rPr>
          <w:rFonts w:ascii="仿宋_GB2312" w:hAnsi="仿宋_GB2312" w:eastAsia="仿宋_GB2312"/>
          <w:b w:val="0"/>
          <w:sz w:val="32"/>
        </w:rPr>
        <w:t>3.城乡社区支出(类)157.00万元,占79.20%。</w:t>
      </w:r>
    </w:p>
    <w:p>
      <w:pPr>
        <w:spacing w:line="580" w:lineRule="exact"/>
        <w:ind w:firstLine="640"/>
        <w:jc w:val="both"/>
      </w:pPr>
      <w:r>
        <w:rPr>
          <w:rFonts w:ascii="仿宋_GB2312" w:hAnsi="仿宋_GB2312" w:eastAsia="仿宋_GB2312"/>
          <w:b w:val="0"/>
          <w:sz w:val="32"/>
        </w:rPr>
        <w:t>4.住房保障支出(类)12.63万元,占6.37%。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1.社会保障和就业支出(类)行政事业单位养老支出(款)事业单位离退休(项):支出决算数为8.03万元，比上年决算增加1.26万元，增长18.61%,主要原因是：本年增加退休人员基础绩效奖，退休费支出增加。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15.71万元，比上年决算减少1.73万元，下降9.92%,主要原因是：本年在职人员减少，单位基本养老保险缴费较上年减少。</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3.卫生健康支出(类)行政事业单位医疗(款)事业单位医疗(项):支出决算数为4.87万元，比上年决算减少2.32万元，下降32.27%,主要原因是：本年在职人员减少，事业单位医疗支出较上年减少。</w:t>
      </w:r>
    </w:p>
    <w:p>
      <w:pPr>
        <w:spacing w:line="580" w:lineRule="exact"/>
        <w:ind w:firstLine="640"/>
        <w:jc w:val="both"/>
      </w:pPr>
      <w:r>
        <w:rPr>
          <w:rFonts w:ascii="仿宋_GB2312" w:hAnsi="仿宋_GB2312" w:eastAsia="仿宋_GB2312"/>
          <w:b w:val="0"/>
          <w:sz w:val="32"/>
        </w:rPr>
        <w:t>4.城乡社区支出(类)城乡社区管理事务(款)其他城乡社区管理事务支出(项):支出决算数为142.79万元，比上年决算减少6.44万元，下降4.32%,主要原因是：本年在职人员减少、较上年减少2023年4月艰边贴调资补发。</w:t>
      </w:r>
    </w:p>
    <w:p>
      <w:pPr>
        <w:spacing w:line="580" w:lineRule="exact"/>
        <w:ind w:firstLine="640"/>
        <w:jc w:val="both"/>
      </w:pPr>
      <w:r>
        <w:rPr>
          <w:rFonts w:ascii="仿宋_GB2312" w:hAnsi="仿宋_GB2312" w:eastAsia="仿宋_GB2312"/>
          <w:b w:val="0"/>
          <w:sz w:val="32"/>
        </w:rPr>
        <w:t>5.城乡社区支出(类)城乡社区公共设施(款)其他城乡社区公共设施支出(项):支出决算数为14.22万元，比上年决算增加14.22万元，增长100.00%,主要原因是：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卡得尔阿吉·吾甫尔丧葬费及抚恤金。</w:t>
      </w:r>
    </w:p>
    <w:p>
      <w:pPr>
        <w:spacing w:line="580" w:lineRule="exact"/>
        <w:ind w:firstLine="640"/>
        <w:jc w:val="both"/>
      </w:pPr>
      <w:r>
        <w:rPr>
          <w:rFonts w:ascii="仿宋_GB2312" w:hAnsi="仿宋_GB2312" w:eastAsia="仿宋_GB2312"/>
          <w:b w:val="0"/>
          <w:sz w:val="32"/>
        </w:rPr>
        <w:t>6.住房保障支出(类)住房改革支出(款)住房公积金(项):支出决算数为12.63万元，比上年决算减少2.17万元，下降14.66%,主要原因是：本年在职人员减少，住房公积金缴费较上年减少。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2024年度一般公共预算财政拨款基本支出196.74万元，其中：</w:t>
      </w:r>
      <w:r>
        <w:rPr>
          <w:rFonts w:ascii="仿宋_GB2312" w:hAnsi="仿宋_GB2312" w:eastAsia="仿宋_GB2312"/>
          <w:b/>
          <w:sz w:val="32"/>
        </w:rPr>
        <w:t>人员经费195.26万元，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w:t>
      </w:r>
    </w:p>
    <w:p>
      <w:pPr>
        <w:spacing w:line="580" w:lineRule="exact"/>
        <w:ind w:firstLine="640"/>
        <w:jc w:val="both"/>
      </w:pPr>
      <w:r>
        <w:rPr>
          <w:rFonts w:ascii="仿宋_GB2312" w:hAnsi="仿宋_GB2312" w:eastAsia="仿宋_GB2312"/>
          <w:b/>
          <w:sz w:val="32"/>
        </w:rPr>
        <w:t>公用经费1.48万元，</w:t>
      </w:r>
      <w:r>
        <w:rPr>
          <w:rFonts w:ascii="仿宋_GB2312" w:hAnsi="仿宋_GB2312" w:eastAsia="仿宋_GB2312"/>
          <w:b w:val="0"/>
          <w:sz w:val="32"/>
        </w:rPr>
        <w:t>包括：办公费、差旅费。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阿图什市住房和城乡建设局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2024年度阿图什市房地产服务中心（事业单位）公用经费支出1.48万元，比上年减少1.48万元，下降50.00%，主要原因是：严格控制公用经费，合理节约办公用品，减少不必要开支。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2024年度政府采购支出总额1.38万元，其中：政府采购货物支出1.38万元、政府采购工程支出0.00万元、政府采购服务支出0.00万元。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授予中小企业合同金额1.38万元，占政府采购支出总额的100.00%，其中：授予小微企业合同金额0.72万元，占政府采购支出总额的52.17%。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7.35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198.24万元，实际执行总额198.24万元；预算绩效评价项目1个，全年预算数1.50万元，全年执行数1.50万元。预算绩效管理取得的成效：通过建立“预算编制有目标、预算执行有监控、预算完成有评价、评价结果有应用”的闭环管理体系，有效遏制了资金使用中的浪费、闲置等问题，推动资金向重点领域、民生项目倾斜，确保财政资金“花在刀刃上”，单位履职效能与资金投入的匹配度明显提高。发现的问题及原因：一是绩效指标的明确性、可衡量性、相关性还需进一步提升；二是预算精细化管理还需完善，预算编制管理水平仍有进一步提升的空间。下一步改进措施：压实部门协同：打破“财务部门单打独斗”的局面，明确业务部门为绩效管理第一责任主体，要求业务部门全程参与目标设定、执行监控、评价反馈，实现“业务工作与绩效管理同部署、同推进”。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阿图什市房地产服务中心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单位基本职能：1.贯彻执行国家、自治区、自治州有关房产法律、法规和方针、政策，拟定全市房产管理地方性文件、实施办法，并组织全面实施。2.负责全市房地产开发、交易市场的服务管理</w:t>
            </w:r>
            <w:r>
              <w:rPr>
                <w:rFonts w:hint="eastAsia" w:ascii="宋体" w:hAnsi="宋体"/>
                <w:sz w:val="16"/>
                <w:lang w:eastAsia="zh-CN"/>
              </w:rPr>
              <w:t>；</w:t>
            </w:r>
            <w:r>
              <w:rPr>
                <w:rFonts w:ascii="宋体" w:hAnsi="宋体" w:eastAsia="宋体"/>
                <w:sz w:val="16"/>
              </w:rPr>
              <w:t>负责整顿、规范</w:t>
            </w:r>
            <w:r>
              <w:rPr>
                <w:rFonts w:hint="eastAsia" w:ascii="宋体" w:hAnsi="宋体"/>
                <w:sz w:val="16"/>
                <w:lang w:eastAsia="zh-CN"/>
              </w:rPr>
              <w:t>房地</w:t>
            </w:r>
            <w:r>
              <w:rPr>
                <w:rFonts w:ascii="宋体" w:hAnsi="宋体" w:eastAsia="宋体"/>
                <w:sz w:val="16"/>
              </w:rPr>
              <w:t>产市场</w:t>
            </w:r>
            <w:r>
              <w:rPr>
                <w:rFonts w:hint="eastAsia" w:ascii="宋体" w:hAnsi="宋体"/>
                <w:sz w:val="16"/>
                <w:lang w:eastAsia="zh-CN"/>
              </w:rPr>
              <w:t>；</w:t>
            </w:r>
            <w:r>
              <w:rPr>
                <w:rFonts w:ascii="宋体" w:hAnsi="宋体" w:eastAsia="宋体"/>
                <w:sz w:val="16"/>
              </w:rPr>
              <w:t>负责房地产中介服务指导与管理。3.负责全市房屋产权产籍、抵押等管理工作、房地产评估、测绘服务管理、商品房预</w:t>
            </w:r>
            <w:r>
              <w:rPr>
                <w:rFonts w:hint="eastAsia" w:ascii="宋体" w:hAnsi="宋体"/>
                <w:sz w:val="16"/>
                <w:lang w:eastAsia="zh-CN"/>
              </w:rPr>
              <w:t>（</w:t>
            </w:r>
            <w:r>
              <w:rPr>
                <w:rFonts w:ascii="宋体" w:hAnsi="宋体" w:eastAsia="宋体"/>
                <w:sz w:val="16"/>
              </w:rPr>
              <w:t>销)售管理和房屋网签备案。4.负责城市物业管理工作的协调、指导和管理物业企业</w:t>
            </w:r>
            <w:r>
              <w:rPr>
                <w:rFonts w:hint="eastAsia" w:ascii="宋体" w:hAnsi="宋体"/>
                <w:sz w:val="16"/>
                <w:lang w:eastAsia="zh-CN"/>
              </w:rPr>
              <w:t>；</w:t>
            </w:r>
            <w:r>
              <w:rPr>
                <w:rFonts w:ascii="宋体" w:hAnsi="宋体" w:eastAsia="宋体"/>
                <w:sz w:val="16"/>
              </w:rPr>
              <w:t>负责住宅专项维修资金的归集管理并监督使用。5承办市人民政府交办的其他事项。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机构设置及人员配置：无下属预算单位，下设3个科室，编制数10，实有人数16人，在职10人，退休6人。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中长期规划：1.进一步规范房地产市场秩序，2.进一步探索物业管理新模式，</w:t>
            </w:r>
            <w:r>
              <w:rPr>
                <w:rFonts w:hint="eastAsia" w:ascii="宋体" w:hAnsi="宋体"/>
                <w:sz w:val="16"/>
                <w:lang w:val="en-US" w:eastAsia="zh-CN"/>
              </w:rPr>
              <w:t>3</w:t>
            </w:r>
            <w:r>
              <w:rPr>
                <w:rFonts w:ascii="宋体" w:hAnsi="宋体" w:eastAsia="宋体"/>
                <w:sz w:val="16"/>
              </w:rPr>
              <w:t>.进一步开展机关效能和作风建设。保障部门在职10人，退休6人工资及各项福利正常发放，保证部门正常运转。</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198.24万元，用于保障部门在职10人，退休6人的工资福利、各项补助正常发放及部门单位正常运转，单位预算项目根据年初计划均已完成，规范房地产市场秩序，探索物业管理新模式，开展机关效能和作风建设，年度任务中完成保障属地小区物业数量52个，保障单位正常运转期限12个月，保障单位预算项目1个，保障公务用车数量1辆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房地产监督管理覆盖率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保障属地小区物业数量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保障单位正常运转期限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保障单位预算项目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2024年商品房网签备案专网使用费项目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阿图什市房地产服务中心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阿图什市房地产服务中心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根据《阿图什市房地产服务中心关于项目经费使用的会议纪要》实施项目，本项目总投资1.5万元，主要用于计划维护专网电缆线1条，缴纳12个月网费，提高工作效率及公众服务能力，更好地服务人民群众。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本项目共计支出1.5万元，用于维护专网电缆线数量1条，缴纳网费时间12个月；通过实施本项目提高工作效率及公众服务能力，更好地服务人民群众。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维护专网电缆线数量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缴纳网费时间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网络故障率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通讯费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缴纳网费成本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提高工作效率及公众服务能力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923176"/>
    <w:rsid w:val="38006E2C"/>
    <w:rsid w:val="3914510A"/>
    <w:rsid w:val="3B1220C9"/>
    <w:rsid w:val="3D5275AC"/>
    <w:rsid w:val="3EA7725F"/>
    <w:rsid w:val="3EC014A1"/>
    <w:rsid w:val="3F552DD3"/>
    <w:rsid w:val="40834692"/>
    <w:rsid w:val="423A32B2"/>
    <w:rsid w:val="423C0CB4"/>
    <w:rsid w:val="427B5743"/>
    <w:rsid w:val="42E64542"/>
    <w:rsid w:val="464B7E04"/>
    <w:rsid w:val="464F7E64"/>
    <w:rsid w:val="46901EEE"/>
    <w:rsid w:val="469C74D2"/>
    <w:rsid w:val="47445515"/>
    <w:rsid w:val="47EC5918"/>
    <w:rsid w:val="49BA7120"/>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4E72E7"/>
    <w:rsid w:val="6B68175F"/>
    <w:rsid w:val="6B8B5C99"/>
    <w:rsid w:val="6CA7198F"/>
    <w:rsid w:val="6D8919A8"/>
    <w:rsid w:val="6E0F7A08"/>
    <w:rsid w:val="6E801ABC"/>
    <w:rsid w:val="71473612"/>
    <w:rsid w:val="718F7F65"/>
    <w:rsid w:val="719F5BD3"/>
    <w:rsid w:val="73423603"/>
    <w:rsid w:val="737A5923"/>
    <w:rsid w:val="73DE4104"/>
    <w:rsid w:val="73FB6630"/>
    <w:rsid w:val="74CE04EC"/>
    <w:rsid w:val="74E76DCD"/>
    <w:rsid w:val="76660D7C"/>
    <w:rsid w:val="76E8109F"/>
    <w:rsid w:val="77ED6F44"/>
    <w:rsid w:val="795A0A34"/>
    <w:rsid w:val="7A0D3BC7"/>
    <w:rsid w:val="7A3A3CDB"/>
    <w:rsid w:val="7B9F5B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5008</Words>
  <Characters>5740</Characters>
  <Lines>0</Lines>
  <Paragraphs>0</Paragraphs>
  <TotalTime>12</TotalTime>
  <ScaleCrop>false</ScaleCrop>
  <LinksUpToDate>false</LinksUpToDate>
  <CharactersWithSpaces>5748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2025-09-19T11:29:19Z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