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2024年自治区纺织服装专项资金</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项目名称：2024年自治区纺织服装专项资金</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项目单位：阿图什市商务和工业信息化局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主管部门：阿图什市商务和工业信息化局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2024年自治区纺织服装专项资金</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《新疆维吾尔自治区纺织服装产业专项补贴资金管理办法》的出台，将对新疆纺织服装行业发展产生明显促进作用。一是各项补贴资金审核兑付工作交给</w:t>
      </w:r>
      <w:r>
        <w:rPr>
          <w:rFonts w:hint="eastAsia" w:ascii="仿宋_GB2312" w:hAnsi="仿宋_GB2312" w:cs="仿宋_GB2312"/>
          <w:color w:val="auto"/>
          <w:sz w:val="32"/>
          <w:szCs w:val="32"/>
          <w:highlight w:val="none"/>
          <w:lang w:val="en-US" w:eastAsia="zh-CN"/>
        </w:rPr>
        <w:t>各市（县）</w:t>
      </w:r>
      <w:r>
        <w:rPr>
          <w:rFonts w:hint="eastAsia" w:ascii="仿宋_GB2312" w:hAnsi="仿宋_GB2312" w:cs="仿宋_GB2312"/>
          <w:color w:val="auto"/>
          <w:sz w:val="32"/>
          <w:szCs w:val="32"/>
          <w:highlight w:val="none"/>
        </w:rPr>
        <w:t>级政府负责，调动了基层的工作积极性。二是补贴资金实行预拨，加快了补贴资金兑付进度，有效缓解企业</w:t>
      </w:r>
      <w:bookmarkStart w:id="0" w:name="_GoBack"/>
      <w:r>
        <w:rPr>
          <w:rFonts w:hint="eastAsia" w:ascii="仿宋_GB2312" w:hAnsi="仿宋_GB2312" w:cs="仿宋_GB2312"/>
          <w:color w:val="auto"/>
          <w:sz w:val="32"/>
          <w:szCs w:val="32"/>
          <w:highlight w:val="none"/>
        </w:rPr>
        <w:t>融资</w:t>
      </w:r>
      <w:bookmarkEnd w:id="0"/>
      <w:r>
        <w:rPr>
          <w:rFonts w:hint="eastAsia" w:ascii="仿宋_GB2312" w:hAnsi="仿宋_GB2312" w:cs="仿宋_GB2312"/>
          <w:color w:val="auto"/>
          <w:sz w:val="32"/>
          <w:szCs w:val="32"/>
          <w:highlight w:val="none"/>
        </w:rPr>
        <w:t>难问题。三是自治区对补贴资金使用进行全覆盖核查并跟踪问效，保障了补贴资金安全。四是将南疆四地州设备融资租赁贷款纳入贴息范围，实行特殊优惠，促进南北疆产业平衡发展。</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预拨2024年第一批自治区纺织服装专项资金的通知》克财建【2024】30号文件下达资金280万元、《关于预拨2024年第二批自治区纺织服装专项资金的通知》克财建【2024】32号文件下达资金33万元，共计下达资金313万元，用于对5家纺织企业进行纺织服装电费、运费补贴，通过项目的实施及时向企业兑付纺织服装各项补贴。</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商务和工业信息化局,实施单位为阿图什市商务和工业信息化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313</w:t>
      </w:r>
      <w:r>
        <w:rPr>
          <w:rStyle w:val="11"/>
          <w:rFonts w:hint="eastAsia" w:ascii="仿宋_GB2312" w:hAnsi="仿宋_GB2312" w:cs="仿宋_GB2312"/>
          <w:b w:val="0"/>
          <w:bCs w:val="0"/>
          <w:color w:val="auto"/>
          <w:spacing w:val="-4"/>
          <w:sz w:val="32"/>
          <w:szCs w:val="30"/>
          <w:highlight w:val="none"/>
        </w:rPr>
        <w:t>万元，资金来源为自治区专项资金。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273</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87.2</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纺织服装电费、运费补贴成本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lang w:val="en-US" w:eastAsia="zh-CN"/>
        </w:rPr>
        <w:t>273万元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关于预拨2024年第一批自治区纺织服装专项资金的通知》克财建【2024】30号文件下达资金280万元、《关于预拨2024年第二批自治区纺织服装专项资金的通知》克财建【2024】32号文件下达资金33万元，共计下达资金313万元，用于对5家纺织企业进行纺织服装电费、运费补贴，通过项目的实施及时向企业兑付纺织服装各项补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2024年自治区纺织服装专项资金</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2024年自治区纺织服装专项资金</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2024年自治区纺织服装专项资金</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2024年自治区纺织服装专项资金</w:t>
      </w:r>
      <w:r>
        <w:rPr>
          <w:rFonts w:hint="eastAsia" w:ascii="仿宋_GB2312" w:hAnsi="仿宋_GB2312" w:cs="仿宋_GB2312"/>
          <w:color w:val="auto"/>
          <w:sz w:val="32"/>
          <w:highlight w:val="none"/>
        </w:rPr>
        <w:t>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2024年自治区纺织服装专项资金</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0"/>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藏凤英</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古力马衣</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古力巴衣拉</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自治区纺织服装专项资金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组织管理、产出与效益效果。在此基础上，以相关的项目数据为基础，综合运用不同的评价方法，结合评价标准和评分规则，2024年自治区纺织服装专项资金综合得分为97.56分，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2024年自治区纺织服装专项资金评价得分情况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683"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1"/>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662"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16.36</w:t>
            </w:r>
          </w:p>
        </w:tc>
        <w:tc>
          <w:tcPr>
            <w:tcW w:w="3866" w:type="dxa"/>
            <w:tcBorders>
              <w:top w:val="single" w:color="auto" w:sz="4" w:space="0"/>
              <w:left w:val="single" w:color="auto" w:sz="4" w:space="0"/>
              <w:right w:val="single" w:color="auto" w:sz="4" w:space="0"/>
            </w:tcBorders>
            <w:shd w:val="clear" w:color="auto" w:fill="FFFFFF"/>
            <w:vAlign w:val="bottom"/>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预算执行率扣0.64分</w:t>
            </w:r>
          </w:p>
        </w:tc>
      </w:tr>
      <w:tr>
        <w:tblPrEx>
          <w:tblLayout w:type="fixed"/>
          <w:tblCellMar>
            <w:top w:w="0" w:type="dxa"/>
            <w:left w:w="10" w:type="dxa"/>
            <w:bottom w:w="0" w:type="dxa"/>
            <w:right w:w="10" w:type="dxa"/>
          </w:tblCellMar>
        </w:tblPrEx>
        <w:trPr>
          <w:trHeight w:val="1175"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28.2</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质量指标扣0.9分</w:t>
            </w:r>
          </w:p>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成本指标扣0.9分</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97.56</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2024年自治区纺织服装专项资金</w:t>
      </w:r>
      <w:r>
        <w:rPr>
          <w:rFonts w:hint="eastAsia" w:ascii="仿宋_GB2312" w:hAnsi="仿宋_GB2312" w:cs="仿宋_GB2312"/>
          <w:color w:val="auto"/>
          <w:sz w:val="32"/>
          <w:szCs w:val="32"/>
          <w:highlight w:val="none"/>
        </w:rPr>
        <w:t>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年已完成对5家纺织企业进行纺织服装电费、运费补贴等工作；通过该项目的实施及时向企业兑付纺织服装各项补贴。</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2024年自治区纺织服装专项资金</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273</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97.56</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9"/>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自治区纺织服装专项资金</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2024年自治区纺织服装专项资金</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2024年自治区纺织服装专项资金</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val="en-US" w:eastAsia="zh-CN"/>
        </w:rPr>
        <w:t>自治区</w:t>
      </w:r>
      <w:r>
        <w:rPr>
          <w:rFonts w:hint="eastAsia" w:ascii="仿宋_GB2312" w:hAnsi="仿宋_GB2312" w:cs="仿宋_GB2312"/>
          <w:color w:val="auto"/>
          <w:sz w:val="32"/>
          <w:szCs w:val="32"/>
          <w:highlight w:val="none"/>
        </w:rPr>
        <w:t>纺织服装专项资金，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2024年自治区纺织服装专项资金</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数量指标为纺织服装电费、运费补贴数量，预期指标值是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5家，实际完成值是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5家，指标达到预期目标。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87.2%，指标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达到预期目标。原因：本项目分三批次资金下达，目前已完成前两次资金下达任务，第三批资金结转至2025年支付；措施：下一年度提前做好项目计划，保证项目顺利开展。</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rPr>
        <w:t>成本指标为纺织服装电费、运费补贴平均成本，预期指标值是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62.6万元/家，实际完成值是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54.6万元/家，指标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达到预期目标。原因：本项目分三批次资金下达，目前已完成前两次资金下达任务，第三批资金结转至2025年支付；措施：下一年度提前做好项目计划，保证项目顺利开展。</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eastAsia="仿宋_GB2312"/>
          <w:color w:val="auto"/>
          <w:sz w:val="32"/>
          <w:szCs w:val="32"/>
          <w:highlight w:val="none"/>
          <w:lang w:val="en-US" w:eastAsia="zh-CN"/>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w:t>
      </w:r>
      <w:r>
        <w:rPr>
          <w:rFonts w:hint="eastAsia" w:ascii="仿宋_GB2312"/>
          <w:color w:val="auto"/>
          <w:sz w:val="32"/>
          <w:szCs w:val="32"/>
          <w:highlight w:val="none"/>
          <w:lang w:val="en-US" w:eastAsia="zh-CN"/>
        </w:rPr>
        <w:t>为纺织服装产业带动结业，预期指标值是效果明显，实际完成值是效果明显，指标达到预期目标。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满意度指标为纺织服装企业满意度，预期指标值是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80%，实际完成值是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80%，指标达到预期目标。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满意度指标为纺织服装企业职工满意度，预期指标值是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80%，实际完成值是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80%，指标达到预期目标。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313</w:t>
      </w:r>
      <w:r>
        <w:rPr>
          <w:rFonts w:hint="eastAsia"/>
          <w:color w:val="auto"/>
          <w:sz w:val="32"/>
          <w:highlight w:val="none"/>
        </w:rPr>
        <w:t>万元，执行数</w:t>
      </w:r>
      <w:r>
        <w:rPr>
          <w:rFonts w:hint="eastAsia"/>
          <w:color w:val="auto"/>
          <w:sz w:val="32"/>
          <w:highlight w:val="none"/>
          <w:lang w:val="en-US" w:eastAsia="zh-CN"/>
        </w:rPr>
        <w:t>273</w:t>
      </w:r>
      <w:r>
        <w:rPr>
          <w:rFonts w:hint="eastAsia"/>
          <w:color w:val="auto"/>
          <w:sz w:val="32"/>
          <w:highlight w:val="none"/>
        </w:rPr>
        <w:t>万元，执行率</w:t>
      </w:r>
      <w:r>
        <w:rPr>
          <w:rFonts w:hint="eastAsia"/>
          <w:color w:val="auto"/>
          <w:sz w:val="32"/>
          <w:highlight w:val="none"/>
          <w:lang w:val="en-US" w:eastAsia="zh-CN"/>
        </w:rPr>
        <w:t>87.2</w:t>
      </w:r>
      <w:r>
        <w:rPr>
          <w:rFonts w:hint="eastAsia"/>
          <w:color w:val="auto"/>
          <w:sz w:val="32"/>
          <w:highlight w:val="none"/>
        </w:rPr>
        <w:t>%，绩效指标完成率</w:t>
      </w:r>
      <w:r>
        <w:rPr>
          <w:rFonts w:hint="eastAsia"/>
          <w:color w:val="auto"/>
          <w:sz w:val="32"/>
          <w:highlight w:val="none"/>
          <w:lang w:val="en-US" w:eastAsia="zh-CN"/>
        </w:rPr>
        <w:t>96.4</w:t>
      </w:r>
      <w:r>
        <w:rPr>
          <w:rFonts w:hint="eastAsia"/>
          <w:color w:val="auto"/>
          <w:sz w:val="32"/>
          <w:highlight w:val="none"/>
        </w:rPr>
        <w:t>%，偏差率</w:t>
      </w:r>
      <w:r>
        <w:rPr>
          <w:rFonts w:hint="eastAsia"/>
          <w:color w:val="auto"/>
          <w:sz w:val="32"/>
          <w:highlight w:val="none"/>
          <w:lang w:val="en-US" w:eastAsia="zh-CN"/>
        </w:rPr>
        <w:t>9.2</w:t>
      </w:r>
      <w:r>
        <w:rPr>
          <w:rFonts w:hint="eastAsia"/>
          <w:color w:val="auto"/>
          <w:sz w:val="32"/>
          <w:highlight w:val="none"/>
        </w:rPr>
        <w:t>%。偏差原因：本项目分三批次资金下达，目前已完成前两次资金下达任务，第三批资金结转至2025年支付。</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2"/>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4.36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97.56</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8CB4"/>
    <w:multiLevelType w:val="multilevel"/>
    <w:tmpl w:val="68CB8CB4"/>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8CBF"/>
    <w:multiLevelType w:val="singleLevel"/>
    <w:tmpl w:val="68CB8CBF"/>
    <w:lvl w:ilvl="0" w:tentative="0">
      <w:start w:val="3"/>
      <w:numFmt w:val="decimal"/>
      <w:suff w:val="nothing"/>
      <w:lvlText w:val="%1．"/>
      <w:lvlJc w:val="left"/>
      <w:rPr>
        <w:rFonts w:hint="default"/>
        <w:b/>
        <w:bCs/>
        <w:color w:val="auto"/>
      </w:rPr>
    </w:lvl>
  </w:abstractNum>
  <w:abstractNum w:abstractNumId="2">
    <w:nsid w:val="68CB8CCA"/>
    <w:multiLevelType w:val="singleLevel"/>
    <w:tmpl w:val="68CB8CCA"/>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9B142A0"/>
    <w:rsid w:val="70550193"/>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qFormat/>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闻政正文 Char"/>
    <w:link w:val="29"/>
    <w:qFormat/>
    <w:uiPriority w:val="0"/>
    <w:rPr>
      <w:rFonts w:eastAsia="仿宋_GB2312"/>
      <w:sz w:val="28"/>
      <w:szCs w:val="28"/>
    </w:rPr>
  </w:style>
  <w:style w:type="paragraph" w:customStyle="1" w:styleId="29">
    <w:name w:val="闻政正文"/>
    <w:basedOn w:val="1"/>
    <w:link w:val="28"/>
    <w:qFormat/>
    <w:uiPriority w:val="0"/>
    <w:pPr>
      <w:spacing w:line="500" w:lineRule="exact"/>
      <w:ind w:firstLine="560" w:firstLineChars="200"/>
    </w:pPr>
    <w:rPr>
      <w:kern w:val="0"/>
      <w:sz w:val="28"/>
      <w:szCs w:val="28"/>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2">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377B4658E74F45A58AC59F26FEF81673_13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5a76cf-418d-403c-bb73-50b37f486b8b}">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7</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2025-09-22T05:01:03Z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377B4658E74F45A58AC59F26FEF81673_13</vt:lpwstr>
  </property>
  <property fmtid="{D5CDD505-2E9C-101B-9397-08002B2CF9AE}" pid="4" name="KSOTemplateDocerSaveRecord">
    <vt:lpwstr>eyJoZGlkIjoiYzZkNzQ4ZWFiZmQ4NTRhOWRkZTk3YTMwMjlmMmZhYmUiLCJ1c2VySWQiOiI1NzgxMjU4NDIifQ_x003D__x003D_</vt:lpwstr>
  </property>
</Properties>
</file>