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阿图什市第六幼儿园2024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9BC6B9C">
      <w:r>
        <w:br w:type="page"/>
      </w:r>
    </w:p>
    <w:p w14:paraId="68E39C37">
      <w:pPr>
        <w:spacing w:line="640" w:lineRule="exact"/>
        <w:jc w:val="center"/>
        <w:outlineLvl w:val="1"/>
      </w:pPr>
      <w:r>
        <w:rPr>
          <w:rFonts w:ascii="黑体" w:hAnsi="黑体" w:eastAsia="黑体"/>
          <w:sz w:val="32"/>
        </w:rPr>
        <w:t>第一部分 单位概况</w:t>
      </w:r>
    </w:p>
    <w:p w14:paraId="0178DEE8">
      <w:pPr>
        <w:spacing w:line="640" w:lineRule="exact"/>
        <w:ind w:firstLine="640"/>
        <w:jc w:val="both"/>
        <w:outlineLvl w:val="2"/>
      </w:pPr>
      <w:r>
        <w:rPr>
          <w:rFonts w:ascii="黑体" w:hAnsi="黑体" w:eastAsia="黑体"/>
          <w:sz w:val="32"/>
        </w:rPr>
        <w:t>一、主要职能</w:t>
      </w:r>
    </w:p>
    <w:p w14:paraId="24DC44F7">
      <w:pPr>
        <w:spacing w:line="580" w:lineRule="exact"/>
        <w:ind w:firstLine="640"/>
        <w:jc w:val="both"/>
      </w:pPr>
      <w:r>
        <w:rPr>
          <w:rFonts w:ascii="仿宋_GB2312" w:hAnsi="仿宋_GB2312" w:eastAsia="仿宋_GB2312"/>
          <w:sz w:val="32"/>
        </w:rPr>
        <w:t>1.正确贯彻执行党和国家的教育方针、政策、法规。</w:t>
      </w:r>
    </w:p>
    <w:p w14:paraId="0BD723D6">
      <w:pPr>
        <w:spacing w:line="580" w:lineRule="exact"/>
        <w:ind w:firstLine="640"/>
        <w:jc w:val="both"/>
      </w:pPr>
      <w:r>
        <w:rPr>
          <w:rFonts w:ascii="仿宋_GB2312" w:hAnsi="仿宋_GB2312" w:eastAsia="仿宋_GB2312"/>
          <w:sz w:val="32"/>
        </w:rPr>
        <w:t>2.维护我园的教学秩序，为幼儿创造良好的学习环境。</w:t>
      </w:r>
    </w:p>
    <w:p w14:paraId="2BB1CEBC">
      <w:pPr>
        <w:spacing w:line="580" w:lineRule="exact"/>
        <w:ind w:firstLine="640"/>
        <w:jc w:val="both"/>
      </w:pPr>
      <w:r>
        <w:rPr>
          <w:rFonts w:ascii="仿宋_GB2312" w:hAnsi="仿宋_GB2312" w:eastAsia="仿宋_GB2312"/>
          <w:sz w:val="32"/>
        </w:rPr>
        <w:t>3.积极稳妥地推进教育改革，按教育规律办事，不断提高教育质量。</w:t>
      </w:r>
    </w:p>
    <w:p w14:paraId="1F88C1CB">
      <w:pPr>
        <w:spacing w:line="580" w:lineRule="exact"/>
        <w:ind w:firstLine="640"/>
        <w:jc w:val="both"/>
      </w:pPr>
      <w:r>
        <w:rPr>
          <w:rFonts w:ascii="仿宋_GB2312" w:hAnsi="仿宋_GB2312" w:eastAsia="仿宋_GB2312"/>
          <w:sz w:val="32"/>
        </w:rPr>
        <w:t>4.根据我园规模，设置学校管理机构，建立健全各项规章制度和岗位责任制。</w:t>
      </w:r>
    </w:p>
    <w:p w14:paraId="1ECD1A64">
      <w:pPr>
        <w:spacing w:line="580" w:lineRule="exact"/>
        <w:ind w:firstLine="640"/>
        <w:jc w:val="both"/>
      </w:pPr>
      <w:r>
        <w:rPr>
          <w:rFonts w:ascii="仿宋_GB2312" w:hAnsi="仿宋_GB2312" w:eastAsia="仿宋_GB2312"/>
          <w:sz w:val="32"/>
        </w:rPr>
        <w:t>5.坚持教书育人，服务育人，环境育人方针，加强对幼儿思想品德教育，使幼儿的德智体全面发展。</w:t>
      </w:r>
    </w:p>
    <w:p w14:paraId="1DF677A8">
      <w:pPr>
        <w:spacing w:line="580" w:lineRule="exact"/>
        <w:ind w:firstLine="640"/>
        <w:jc w:val="both"/>
      </w:pPr>
      <w:r>
        <w:rPr>
          <w:rFonts w:ascii="仿宋_GB2312" w:hAnsi="仿宋_GB2312" w:eastAsia="仿宋_GB2312"/>
          <w:sz w:val="32"/>
        </w:rPr>
        <w:t>6.抓好教师队伍建设，使每个教师都热心于教育事业。</w:t>
      </w:r>
    </w:p>
    <w:p w14:paraId="02D7E689">
      <w:pPr>
        <w:spacing w:line="580" w:lineRule="exact"/>
        <w:ind w:firstLine="640"/>
        <w:jc w:val="both"/>
      </w:pPr>
      <w:r>
        <w:rPr>
          <w:rFonts w:ascii="仿宋_GB2312" w:hAnsi="仿宋_GB2312" w:eastAsia="仿宋_GB2312"/>
          <w:sz w:val="32"/>
        </w:rPr>
        <w:t>7.做好安全防范，保证幼儿的人身安全。</w:t>
      </w:r>
    </w:p>
    <w:p w14:paraId="20D94BAB">
      <w:pPr>
        <w:spacing w:line="640" w:lineRule="exact"/>
        <w:ind w:firstLine="640"/>
        <w:jc w:val="both"/>
        <w:outlineLvl w:val="2"/>
      </w:pPr>
      <w:r>
        <w:rPr>
          <w:rFonts w:ascii="黑体" w:hAnsi="黑体" w:eastAsia="黑体"/>
          <w:sz w:val="32"/>
        </w:rPr>
        <w:t>二、机构设置及人员情况</w:t>
      </w:r>
    </w:p>
    <w:p w14:paraId="0846C252">
      <w:pPr>
        <w:spacing w:line="580" w:lineRule="exact"/>
        <w:ind w:firstLine="640"/>
        <w:jc w:val="both"/>
      </w:pPr>
      <w:r>
        <w:rPr>
          <w:rFonts w:ascii="仿宋_GB2312" w:hAnsi="仿宋_GB2312" w:eastAsia="仿宋_GB2312"/>
          <w:sz w:val="32"/>
        </w:rPr>
        <w:t>阿图什市第六幼儿园2024年度，实有人数18人，其中：在职人员17人，减少4人；离休人员0人，增加0人；退休人员1人</w:t>
      </w:r>
      <w:bookmarkStart w:id="0" w:name="_GoBack"/>
      <w:r>
        <w:rPr>
          <w:rFonts w:ascii="仿宋_GB2312" w:hAnsi="仿宋_GB2312" w:eastAsia="仿宋_GB2312"/>
          <w:sz w:val="32"/>
        </w:rPr>
        <w:t>,</w:t>
      </w:r>
      <w:bookmarkEnd w:id="0"/>
      <w:r>
        <w:rPr>
          <w:rFonts w:ascii="仿宋_GB2312" w:hAnsi="仿宋_GB2312" w:eastAsia="仿宋_GB2312"/>
          <w:sz w:val="32"/>
        </w:rPr>
        <w:t>增加1人。</w:t>
      </w:r>
    </w:p>
    <w:p w14:paraId="58393C9E">
      <w:pPr>
        <w:spacing w:line="580" w:lineRule="exact"/>
        <w:ind w:firstLine="640"/>
        <w:jc w:val="both"/>
      </w:pPr>
      <w:r>
        <w:rPr>
          <w:rFonts w:ascii="仿宋_GB2312" w:hAnsi="仿宋_GB2312" w:eastAsia="仿宋_GB2312"/>
          <w:sz w:val="32"/>
        </w:rPr>
        <w:t>阿图什市第六幼儿园无下属预算单位，下设2个科室，分别是：办公室、财务室。</w:t>
      </w:r>
    </w:p>
    <w:p w14:paraId="42A8F622">
      <w:r>
        <w:br w:type="page"/>
      </w:r>
    </w:p>
    <w:p w14:paraId="1A50B365">
      <w:pPr>
        <w:spacing w:line="240" w:lineRule="auto"/>
        <w:jc w:val="center"/>
        <w:outlineLvl w:val="1"/>
      </w:pPr>
      <w:r>
        <w:rPr>
          <w:rFonts w:ascii="黑体" w:hAnsi="黑体" w:eastAsia="黑体"/>
          <w:sz w:val="32"/>
        </w:rPr>
        <w:t>第二部分 部门决算情况说明</w:t>
      </w:r>
    </w:p>
    <w:p w14:paraId="62BF61E4">
      <w:pPr>
        <w:spacing w:line="640" w:lineRule="exact"/>
        <w:ind w:firstLine="640"/>
        <w:jc w:val="both"/>
        <w:outlineLvl w:val="2"/>
      </w:pPr>
      <w:r>
        <w:rPr>
          <w:rFonts w:ascii="黑体" w:hAnsi="黑体" w:eastAsia="黑体"/>
          <w:sz w:val="32"/>
        </w:rPr>
        <w:t>一、收入支出决算总体情况说明</w:t>
      </w:r>
    </w:p>
    <w:p w14:paraId="3DC73816">
      <w:pPr>
        <w:spacing w:line="580" w:lineRule="exact"/>
        <w:ind w:firstLine="640"/>
        <w:jc w:val="both"/>
      </w:pPr>
      <w:r>
        <w:rPr>
          <w:rFonts w:ascii="仿宋_GB2312" w:hAnsi="仿宋_GB2312" w:eastAsia="仿宋_GB2312"/>
          <w:b/>
          <w:sz w:val="32"/>
        </w:rPr>
        <w:t>2024年度收入总计316.13万元，</w:t>
      </w:r>
      <w:r>
        <w:rPr>
          <w:rFonts w:ascii="仿宋_GB2312" w:hAnsi="仿宋_GB2312" w:eastAsia="仿宋_GB2312"/>
          <w:b w:val="0"/>
          <w:sz w:val="32"/>
        </w:rPr>
        <w:t>其中：本年收入合计306.19万元，使用非财政拨款结余（含专用结余）0.00万元，年初结转和结余9.94万元。</w:t>
      </w:r>
    </w:p>
    <w:p w14:paraId="605B8B2D">
      <w:pPr>
        <w:spacing w:line="580" w:lineRule="exact"/>
        <w:ind w:firstLine="640"/>
        <w:jc w:val="both"/>
      </w:pPr>
      <w:r>
        <w:rPr>
          <w:rFonts w:ascii="仿宋_GB2312" w:hAnsi="仿宋_GB2312" w:eastAsia="仿宋_GB2312"/>
          <w:b/>
          <w:sz w:val="32"/>
        </w:rPr>
        <w:t>2024年度支出总计316.13万元，</w:t>
      </w:r>
      <w:r>
        <w:rPr>
          <w:rFonts w:ascii="仿宋_GB2312" w:hAnsi="仿宋_GB2312" w:eastAsia="仿宋_GB2312"/>
          <w:b w:val="0"/>
          <w:sz w:val="32"/>
        </w:rPr>
        <w:t>其中：本年支出合计306.60万元，结余分配0.00万元，年末结转和结余9.53万元。</w:t>
      </w:r>
    </w:p>
    <w:p w14:paraId="0EE4ADF6">
      <w:pPr>
        <w:spacing w:line="580" w:lineRule="exact"/>
        <w:ind w:firstLine="640"/>
        <w:jc w:val="both"/>
        <w:rPr>
          <w:rFonts w:hint="default"/>
          <w:lang w:val="en-US"/>
        </w:rPr>
      </w:pPr>
      <w:r>
        <w:rPr>
          <w:rFonts w:ascii="仿宋_GB2312" w:hAnsi="仿宋_GB2312" w:eastAsia="仿宋_GB2312"/>
          <w:b w:val="0"/>
          <w:sz w:val="32"/>
        </w:rPr>
        <w:t>收入支出总体与上年相比，减少76.09万元，下降19.40%，主要原因是：本年在职人员减少，相关人员经费较上年减少。</w:t>
      </w:r>
      <w:r>
        <w:rPr>
          <w:rFonts w:hint="eastAsia" w:ascii="仿宋_GB2312" w:hAnsi="仿宋_GB2312" w:eastAsia="仿宋_GB2312"/>
          <w:b w:val="0"/>
          <w:sz w:val="32"/>
          <w:lang w:val="en-US" w:eastAsia="zh-CN"/>
        </w:rPr>
        <w:t>办公费，电费，邮电费支出较上年减少。</w:t>
      </w:r>
    </w:p>
    <w:p w14:paraId="6A2FB76E">
      <w:pPr>
        <w:spacing w:line="640" w:lineRule="exact"/>
        <w:ind w:firstLine="640"/>
        <w:jc w:val="both"/>
        <w:outlineLvl w:val="2"/>
      </w:pPr>
      <w:r>
        <w:rPr>
          <w:rFonts w:ascii="黑体" w:hAnsi="黑体" w:eastAsia="黑体"/>
          <w:sz w:val="32"/>
        </w:rPr>
        <w:t>二、收入决算情况说明</w:t>
      </w:r>
    </w:p>
    <w:p w14:paraId="72A48D98">
      <w:pPr>
        <w:spacing w:line="580" w:lineRule="exact"/>
        <w:ind w:firstLine="640"/>
        <w:jc w:val="both"/>
      </w:pPr>
      <w:r>
        <w:rPr>
          <w:rFonts w:ascii="仿宋_GB2312" w:hAnsi="仿宋_GB2312" w:eastAsia="仿宋_GB2312"/>
          <w:b/>
          <w:sz w:val="32"/>
        </w:rPr>
        <w:t>本年收入306.19万元，</w:t>
      </w:r>
      <w:r>
        <w:rPr>
          <w:rFonts w:ascii="仿宋_GB2312" w:hAnsi="仿宋_GB2312" w:eastAsia="仿宋_GB2312"/>
          <w:b w:val="0"/>
          <w:sz w:val="32"/>
        </w:rPr>
        <w:t>其中：财政拨款收入306.16万元，占99.99%；上级补助收入0.00万元，占0.00%；事业收入0.00万元，占0.00%；经营收入0.00万元，占0.00%；附属单位上缴收入0.00万元，占0.00%；其他收入0.04万元，占0.01%。</w:t>
      </w:r>
    </w:p>
    <w:p w14:paraId="47E32806">
      <w:pPr>
        <w:spacing w:line="640" w:lineRule="exact"/>
        <w:ind w:firstLine="640"/>
        <w:jc w:val="both"/>
        <w:outlineLvl w:val="2"/>
      </w:pPr>
      <w:r>
        <w:rPr>
          <w:rFonts w:ascii="黑体" w:hAnsi="黑体" w:eastAsia="黑体"/>
          <w:sz w:val="32"/>
        </w:rPr>
        <w:t>三、支出决算情况说明</w:t>
      </w:r>
    </w:p>
    <w:p w14:paraId="76B8F8E6">
      <w:pPr>
        <w:spacing w:line="580" w:lineRule="exact"/>
        <w:ind w:firstLine="640"/>
        <w:jc w:val="both"/>
      </w:pPr>
      <w:r>
        <w:rPr>
          <w:rFonts w:ascii="仿宋_GB2312" w:hAnsi="仿宋_GB2312" w:eastAsia="仿宋_GB2312"/>
          <w:b/>
          <w:sz w:val="32"/>
        </w:rPr>
        <w:t>本年支出306.60万元，</w:t>
      </w:r>
      <w:r>
        <w:rPr>
          <w:rFonts w:ascii="仿宋_GB2312" w:hAnsi="仿宋_GB2312" w:eastAsia="仿宋_GB2312"/>
          <w:b w:val="0"/>
          <w:sz w:val="32"/>
        </w:rPr>
        <w:t>其中：基本支出284.12万元，占92.67%；项目支出22.48万元，占7.33%；上缴上级支出0.00万元，占0.00%；经营支出0.00万元，占0.00%；对附属单位补助支出0.00万元，占0.00%。</w:t>
      </w:r>
    </w:p>
    <w:p w14:paraId="0E248E80">
      <w:pPr>
        <w:spacing w:line="640" w:lineRule="exact"/>
        <w:ind w:firstLine="640"/>
        <w:jc w:val="both"/>
        <w:outlineLvl w:val="2"/>
      </w:pPr>
      <w:r>
        <w:rPr>
          <w:rFonts w:ascii="黑体" w:hAnsi="黑体" w:eastAsia="黑体"/>
          <w:sz w:val="32"/>
        </w:rPr>
        <w:t>四、财政拨款收入支出决算总体情况说明</w:t>
      </w:r>
    </w:p>
    <w:p w14:paraId="61279F4F">
      <w:pPr>
        <w:spacing w:line="580" w:lineRule="exact"/>
        <w:ind w:firstLine="640"/>
        <w:jc w:val="both"/>
      </w:pPr>
      <w:r>
        <w:rPr>
          <w:rFonts w:ascii="仿宋_GB2312" w:hAnsi="仿宋_GB2312" w:eastAsia="仿宋_GB2312"/>
          <w:b/>
          <w:sz w:val="32"/>
        </w:rPr>
        <w:t>2024年度财政拨款收入总计306.16万元，</w:t>
      </w:r>
      <w:r>
        <w:rPr>
          <w:rFonts w:ascii="仿宋_GB2312" w:hAnsi="仿宋_GB2312" w:eastAsia="仿宋_GB2312"/>
          <w:b w:val="0"/>
          <w:sz w:val="32"/>
        </w:rPr>
        <w:t>其中：年初财政拨款结转和结余0.00万元，本年财政拨款收入306.16万元。</w:t>
      </w:r>
      <w:r>
        <w:rPr>
          <w:rFonts w:ascii="仿宋_GB2312" w:hAnsi="仿宋_GB2312" w:eastAsia="仿宋_GB2312"/>
          <w:b/>
          <w:sz w:val="32"/>
        </w:rPr>
        <w:t>财政拨款支出总计306.16万元，</w:t>
      </w:r>
      <w:r>
        <w:rPr>
          <w:rFonts w:ascii="仿宋_GB2312" w:hAnsi="仿宋_GB2312" w:eastAsia="仿宋_GB2312"/>
          <w:b w:val="0"/>
          <w:sz w:val="32"/>
        </w:rPr>
        <w:t>其中：年末财政拨款结转和结余0.00万元，本年财政拨款支出306.16万元。</w:t>
      </w:r>
    </w:p>
    <w:p w14:paraId="0591B99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减少20.68万元，下降6.33%，主要原因是：本年在职人员减少，相关人员经费较上年减少。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年初预算数395.02万元，决算数306.16万元，预决算差异率-22.50%，主要原因是：本年在职人员减少，年中调减人员经费，导致预决算存在差异。</w:t>
      </w:r>
    </w:p>
    <w:p w14:paraId="0071090A">
      <w:pPr>
        <w:spacing w:line="640" w:lineRule="exact"/>
        <w:ind w:firstLine="640"/>
        <w:jc w:val="both"/>
        <w:outlineLvl w:val="2"/>
      </w:pPr>
      <w:r>
        <w:rPr>
          <w:rFonts w:ascii="黑体" w:hAnsi="黑体" w:eastAsia="黑体"/>
          <w:sz w:val="32"/>
        </w:rPr>
        <w:t>五、一般公共预算财政拨款支出决算情况说明</w:t>
      </w:r>
    </w:p>
    <w:p w14:paraId="5C5C107A">
      <w:pPr>
        <w:spacing w:line="640" w:lineRule="exact"/>
        <w:ind w:firstLine="640"/>
        <w:jc w:val="both"/>
        <w:outlineLvl w:val="3"/>
      </w:pPr>
      <w:r>
        <w:rPr>
          <w:rFonts w:ascii="楷体_GB2312" w:hAnsi="楷体_GB2312" w:eastAsia="楷体_GB2312"/>
          <w:b/>
          <w:sz w:val="32"/>
        </w:rPr>
        <w:t>（一）一般公共预算财政拨款支出决算总体情况</w:t>
      </w:r>
    </w:p>
    <w:p w14:paraId="0DBED2B0">
      <w:pPr>
        <w:spacing w:line="580" w:lineRule="exact"/>
        <w:ind w:firstLine="640"/>
        <w:jc w:val="both"/>
      </w:pPr>
      <w:r>
        <w:rPr>
          <w:rFonts w:ascii="仿宋_GB2312" w:hAnsi="仿宋_GB2312" w:eastAsia="仿宋_GB2312"/>
          <w:b/>
          <w:sz w:val="32"/>
        </w:rPr>
        <w:t>2024年度一般公共预算财政拨款支出306.16万元，</w:t>
      </w:r>
      <w:r>
        <w:rPr>
          <w:rFonts w:ascii="仿宋_GB2312" w:hAnsi="仿宋_GB2312" w:eastAsia="仿宋_GB2312"/>
          <w:b w:val="0"/>
          <w:sz w:val="32"/>
        </w:rPr>
        <w:t>占本年支出合计的99.86%。</w:t>
      </w:r>
      <w:r>
        <w:rPr>
          <w:rFonts w:ascii="仿宋_GB2312" w:hAnsi="仿宋_GB2312" w:eastAsia="仿宋_GB2312"/>
          <w:b/>
          <w:sz w:val="32"/>
        </w:rPr>
        <w:t>与上年相比，</w:t>
      </w:r>
      <w:r>
        <w:rPr>
          <w:rFonts w:ascii="仿宋_GB2312" w:hAnsi="仿宋_GB2312" w:eastAsia="仿宋_GB2312"/>
          <w:b w:val="0"/>
          <w:sz w:val="32"/>
        </w:rPr>
        <w:t>减少20.68万元，下降6.33%，主要原因是：本年在职人员减少，相关人员经费较上年减少。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年初预算数395.02万元，决算数306.16万元，预决算差异率-22.50%，主要原因是：本年在职人员减少，年中调减人员经费，导致预决算存在差异。</w:t>
      </w:r>
    </w:p>
    <w:p w14:paraId="12AFAF39">
      <w:pPr>
        <w:spacing w:line="640" w:lineRule="exact"/>
        <w:ind w:firstLine="640"/>
        <w:jc w:val="both"/>
        <w:outlineLvl w:val="3"/>
      </w:pPr>
      <w:r>
        <w:rPr>
          <w:rFonts w:ascii="楷体_GB2312" w:hAnsi="楷体_GB2312" w:eastAsia="楷体_GB2312"/>
          <w:b/>
          <w:sz w:val="32"/>
        </w:rPr>
        <w:t>（二）一般公共预算财政拨款支出决算结构情况</w:t>
      </w:r>
    </w:p>
    <w:p w14:paraId="272D41E5">
      <w:pPr>
        <w:spacing w:line="580" w:lineRule="exact"/>
        <w:ind w:firstLine="640"/>
        <w:jc w:val="both"/>
      </w:pPr>
      <w:r>
        <w:rPr>
          <w:rFonts w:ascii="仿宋_GB2312" w:hAnsi="仿宋_GB2312" w:eastAsia="仿宋_GB2312"/>
          <w:b w:val="0"/>
          <w:sz w:val="32"/>
        </w:rPr>
        <w:t>1.教育支出(类)298.60万元,占97.53%。</w:t>
      </w:r>
    </w:p>
    <w:p w14:paraId="678758BF">
      <w:pPr>
        <w:spacing w:line="580" w:lineRule="exact"/>
        <w:ind w:firstLine="640"/>
        <w:jc w:val="both"/>
      </w:pPr>
      <w:r>
        <w:rPr>
          <w:rFonts w:ascii="仿宋_GB2312" w:hAnsi="仿宋_GB2312" w:eastAsia="仿宋_GB2312"/>
          <w:b w:val="0"/>
          <w:sz w:val="32"/>
        </w:rPr>
        <w:t>2.社会保障和就业支出(类)7.55万元,占2.47%。</w:t>
      </w:r>
    </w:p>
    <w:p w14:paraId="6E318E7A">
      <w:pPr>
        <w:spacing w:line="640" w:lineRule="exact"/>
        <w:ind w:firstLine="640"/>
        <w:jc w:val="both"/>
        <w:outlineLvl w:val="3"/>
      </w:pPr>
      <w:r>
        <w:rPr>
          <w:rFonts w:ascii="楷体_GB2312" w:hAnsi="楷体_GB2312" w:eastAsia="楷体_GB2312"/>
          <w:b/>
          <w:sz w:val="32"/>
        </w:rPr>
        <w:t>（三）一般公共预算财政拨款支出决算具体情况</w:t>
      </w:r>
    </w:p>
    <w:p w14:paraId="08B6F843">
      <w:pPr>
        <w:spacing w:line="580" w:lineRule="exact"/>
        <w:ind w:firstLine="640"/>
        <w:jc w:val="both"/>
      </w:pPr>
      <w:r>
        <w:rPr>
          <w:rFonts w:ascii="仿宋_GB2312" w:hAnsi="仿宋_GB2312" w:eastAsia="仿宋_GB2312"/>
          <w:b w:val="0"/>
          <w:sz w:val="32"/>
        </w:rPr>
        <w:t>1.教育支出(类)普通教育(款)学前教育(项):支出决算数为276.57万元，比上年决算增加8.84万元，增长3.30%,主要原因是：本年功能科目调整，住房公积金，养老保险缴费上年度单独列支，本年调整至主科目列支，导致经费较上年减少。</w:t>
      </w:r>
    </w:p>
    <w:p w14:paraId="27002072">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2.教育支出(类)教育费附加安排的支出(款)其他教育费附加安排的支出(项):支出决算数为22.03万元，比上年决算增加22.03万元，增长100.00%,主要原因是：</w:t>
      </w:r>
      <w:r>
        <w:rPr>
          <w:rFonts w:hint="eastAsia" w:ascii="仿宋_GB2312" w:hAnsi="仿宋_GB2312" w:eastAsia="仿宋_GB2312"/>
          <w:b w:val="0"/>
          <w:sz w:val="32"/>
          <w:lang w:val="en-US" w:eastAsia="zh-CN"/>
        </w:rPr>
        <w:t>本年功能科目调整，</w:t>
      </w:r>
      <w:r>
        <w:rPr>
          <w:rFonts w:ascii="仿宋_GB2312" w:hAnsi="仿宋_GB2312" w:eastAsia="仿宋_GB2312"/>
          <w:b w:val="0"/>
          <w:sz w:val="32"/>
        </w:rPr>
        <w:t>幼儿保教费</w:t>
      </w:r>
      <w:r>
        <w:rPr>
          <w:rFonts w:hint="eastAsia" w:ascii="仿宋_GB2312" w:hAnsi="仿宋_GB2312" w:eastAsia="仿宋_GB2312"/>
          <w:b w:val="0"/>
          <w:sz w:val="32"/>
          <w:lang w:val="en-US" w:eastAsia="zh-CN"/>
        </w:rPr>
        <w:t>支出上年在</w:t>
      </w:r>
      <w:r>
        <w:rPr>
          <w:rFonts w:ascii="仿宋_GB2312" w:hAnsi="仿宋_GB2312" w:eastAsia="仿宋_GB2312"/>
          <w:b w:val="0"/>
          <w:sz w:val="32"/>
        </w:rPr>
        <w:t>学前教育</w:t>
      </w:r>
      <w:r>
        <w:rPr>
          <w:rFonts w:hint="eastAsia" w:ascii="仿宋_GB2312" w:hAnsi="仿宋_GB2312" w:eastAsia="仿宋_GB2312"/>
          <w:b w:val="0"/>
          <w:sz w:val="32"/>
          <w:lang w:val="en-US" w:eastAsia="zh-CN"/>
        </w:rPr>
        <w:t>列支，本年单独列支，导致经费增加</w:t>
      </w:r>
      <w:r>
        <w:rPr>
          <w:rFonts w:ascii="仿宋_GB2312" w:hAnsi="仿宋_GB2312" w:eastAsia="仿宋_GB2312"/>
          <w:b w:val="0"/>
          <w:sz w:val="32"/>
        </w:rPr>
        <w:t>。</w:t>
      </w:r>
    </w:p>
    <w:p w14:paraId="647E4497">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28.25万元，下降100.00%,主要原因是：本年功能科目调整，养老保险缴费上年度单独列支，本年调整至主科目列支，导致经费较上年减少。</w:t>
      </w:r>
    </w:p>
    <w:p w14:paraId="3CD0C7FE">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4.社会保障和就业支出(类)行政事业单位养老支出(款)机关事业单位职业年金缴费支出(项):支出决算数为7.55万元，比上年决算增加1.35万元，增长21.77%,主要原因是：本年新增退休人员，职业年金缴费支出增加。</w:t>
      </w:r>
    </w:p>
    <w:p w14:paraId="0A4D12CC">
      <w:pPr>
        <w:spacing w:line="580" w:lineRule="exact"/>
        <w:ind w:firstLine="640"/>
        <w:jc w:val="both"/>
      </w:pPr>
      <w:r>
        <w:rPr>
          <w:rFonts w:ascii="仿宋_GB2312" w:hAnsi="仿宋_GB2312" w:eastAsia="仿宋_GB2312"/>
          <w:b w:val="0"/>
          <w:sz w:val="32"/>
        </w:rPr>
        <w:t>5.住房保障支出(类)住房改革支出(款)住房公积金(项):支出决算数为0.00万元，比上年决算减少24.66万元，下降100.00%,主要原因是：本年功能科目调整，住房公积金上年度单独列支，本年调整至主科目列支，导致经费较上年减少。</w:t>
      </w:r>
    </w:p>
    <w:p w14:paraId="70BB7EED">
      <w:pPr>
        <w:spacing w:line="640" w:lineRule="exact"/>
        <w:ind w:firstLine="640"/>
        <w:jc w:val="both"/>
        <w:outlineLvl w:val="2"/>
      </w:pPr>
      <w:r>
        <w:rPr>
          <w:rFonts w:ascii="黑体" w:hAnsi="黑体" w:eastAsia="黑体"/>
          <w:sz w:val="32"/>
        </w:rPr>
        <w:t>六、一般公共预算财政拨款基本支出决算情况说明</w:t>
      </w:r>
    </w:p>
    <w:p w14:paraId="5FBED65C">
      <w:pPr>
        <w:spacing w:line="580" w:lineRule="exact"/>
        <w:ind w:firstLine="640"/>
        <w:jc w:val="both"/>
      </w:pPr>
      <w:r>
        <w:rPr>
          <w:rFonts w:ascii="仿宋_GB2312" w:hAnsi="仿宋_GB2312" w:eastAsia="仿宋_GB2312"/>
          <w:b w:val="0"/>
          <w:sz w:val="32"/>
        </w:rPr>
        <w:t>2024年度一般公共预算财政拨款基本支出284.12万元，其中：</w:t>
      </w:r>
      <w:r>
        <w:rPr>
          <w:rFonts w:ascii="仿宋_GB2312" w:hAnsi="仿宋_GB2312" w:eastAsia="仿宋_GB2312"/>
          <w:b/>
          <w:sz w:val="32"/>
        </w:rPr>
        <w:t>人员经费279.87万元，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w:t>
      </w:r>
    </w:p>
    <w:p w14:paraId="62516CC2">
      <w:pPr>
        <w:spacing w:line="580" w:lineRule="exact"/>
        <w:ind w:firstLine="640"/>
        <w:jc w:val="both"/>
      </w:pPr>
      <w:r>
        <w:rPr>
          <w:rFonts w:ascii="仿宋_GB2312" w:hAnsi="仿宋_GB2312" w:eastAsia="仿宋_GB2312"/>
          <w:b/>
          <w:sz w:val="32"/>
        </w:rPr>
        <w:t>公用经费4.25万元，</w:t>
      </w:r>
      <w:r>
        <w:rPr>
          <w:rFonts w:ascii="仿宋_GB2312" w:hAnsi="仿宋_GB2312" w:eastAsia="仿宋_GB2312"/>
          <w:b w:val="0"/>
          <w:sz w:val="32"/>
        </w:rPr>
        <w:t>包括：取暖费。</w:t>
      </w:r>
    </w:p>
    <w:p w14:paraId="188F5BAE">
      <w:pPr>
        <w:spacing w:line="640" w:lineRule="exact"/>
        <w:ind w:firstLine="640"/>
        <w:jc w:val="both"/>
        <w:outlineLvl w:val="2"/>
      </w:pPr>
      <w:r>
        <w:rPr>
          <w:rFonts w:ascii="黑体" w:hAnsi="黑体" w:eastAsia="黑体"/>
          <w:sz w:val="32"/>
        </w:rPr>
        <w:t>七、政府性基金预算财政拨款收入支出决算情况说明</w:t>
      </w:r>
    </w:p>
    <w:p w14:paraId="195A9B6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D1D967D">
      <w:pPr>
        <w:spacing w:line="640" w:lineRule="exact"/>
        <w:ind w:firstLine="640"/>
        <w:jc w:val="both"/>
        <w:outlineLvl w:val="2"/>
      </w:pPr>
      <w:r>
        <w:rPr>
          <w:rFonts w:ascii="黑体" w:hAnsi="黑体" w:eastAsia="黑体"/>
          <w:sz w:val="32"/>
        </w:rPr>
        <w:t>八、国有资本经营预算财政拨款收入支出决算情况说明</w:t>
      </w:r>
    </w:p>
    <w:p w14:paraId="283131B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8437F0E">
      <w:pPr>
        <w:spacing w:line="640" w:lineRule="exact"/>
        <w:ind w:firstLine="640"/>
        <w:jc w:val="both"/>
        <w:outlineLvl w:val="2"/>
      </w:pPr>
      <w:r>
        <w:rPr>
          <w:rFonts w:ascii="黑体" w:hAnsi="黑体" w:eastAsia="黑体"/>
          <w:sz w:val="32"/>
        </w:rPr>
        <w:t>九、财政拨款“三公”经费支出决算情况说明</w:t>
      </w:r>
    </w:p>
    <w:p w14:paraId="33A2A03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01162DB">
      <w:pPr>
        <w:spacing w:line="580" w:lineRule="exact"/>
        <w:ind w:firstLine="640"/>
        <w:jc w:val="both"/>
      </w:pPr>
      <w:r>
        <w:rPr>
          <w:rFonts w:ascii="仿宋_GB2312" w:hAnsi="仿宋_GB2312" w:eastAsia="仿宋_GB2312"/>
          <w:b/>
          <w:sz w:val="32"/>
        </w:rPr>
        <w:t>具体情况如下：</w:t>
      </w:r>
    </w:p>
    <w:p w14:paraId="76C7B0A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D24464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F7CA32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23EE08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CD76E40">
      <w:pPr>
        <w:spacing w:line="640" w:lineRule="exact"/>
        <w:ind w:firstLine="640"/>
        <w:jc w:val="both"/>
        <w:outlineLvl w:val="2"/>
      </w:pPr>
      <w:r>
        <w:rPr>
          <w:rFonts w:ascii="黑体" w:hAnsi="黑体" w:eastAsia="黑体"/>
          <w:sz w:val="32"/>
        </w:rPr>
        <w:t>十、其他重要事项的情况说明</w:t>
      </w:r>
    </w:p>
    <w:p w14:paraId="2A2EA051">
      <w:pPr>
        <w:spacing w:line="640" w:lineRule="exact"/>
        <w:ind w:firstLine="640"/>
        <w:jc w:val="both"/>
        <w:outlineLvl w:val="3"/>
      </w:pPr>
      <w:r>
        <w:rPr>
          <w:rFonts w:ascii="楷体_GB2312" w:hAnsi="楷体_GB2312" w:eastAsia="楷体_GB2312"/>
          <w:b/>
          <w:sz w:val="32"/>
        </w:rPr>
        <w:t>（一）机关运行经费及公用经费支出情况</w:t>
      </w:r>
    </w:p>
    <w:p w14:paraId="71C3A372">
      <w:pPr>
        <w:spacing w:line="580" w:lineRule="exact"/>
        <w:ind w:firstLine="640"/>
        <w:jc w:val="both"/>
      </w:pPr>
      <w:r>
        <w:rPr>
          <w:rFonts w:ascii="仿宋_GB2312" w:hAnsi="仿宋_GB2312" w:eastAsia="仿宋_GB2312"/>
          <w:b w:val="0"/>
          <w:sz w:val="32"/>
        </w:rPr>
        <w:t>2024年度阿图什市第六幼儿园（事业单位）公用经费支出4.25万元，比上年减少16.16万元，下降79.18%，主要原因是：</w:t>
      </w:r>
      <w:r>
        <w:rPr>
          <w:rFonts w:hint="eastAsia" w:ascii="仿宋_GB2312" w:hAnsi="仿宋_GB2312" w:eastAsia="仿宋_GB2312"/>
          <w:b w:val="0"/>
          <w:sz w:val="32"/>
          <w:lang w:val="en-US" w:eastAsia="zh-CN"/>
        </w:rPr>
        <w:t>本年减少取暖费支出</w:t>
      </w:r>
      <w:r>
        <w:rPr>
          <w:rFonts w:ascii="仿宋_GB2312" w:hAnsi="仿宋_GB2312" w:eastAsia="仿宋_GB2312"/>
          <w:b w:val="0"/>
          <w:sz w:val="32"/>
        </w:rPr>
        <w:t>。</w:t>
      </w:r>
    </w:p>
    <w:p w14:paraId="13916BD8">
      <w:pPr>
        <w:spacing w:line="640" w:lineRule="exact"/>
        <w:ind w:firstLine="640"/>
        <w:jc w:val="both"/>
        <w:outlineLvl w:val="3"/>
      </w:pPr>
      <w:r>
        <w:rPr>
          <w:rFonts w:ascii="楷体_GB2312" w:hAnsi="楷体_GB2312" w:eastAsia="楷体_GB2312"/>
          <w:b/>
          <w:sz w:val="32"/>
        </w:rPr>
        <w:t>（二）政府采购情况</w:t>
      </w:r>
    </w:p>
    <w:p w14:paraId="0CF7101F">
      <w:pPr>
        <w:spacing w:line="580" w:lineRule="exact"/>
        <w:ind w:firstLine="640"/>
        <w:jc w:val="both"/>
      </w:pPr>
      <w:r>
        <w:rPr>
          <w:rFonts w:ascii="仿宋_GB2312" w:hAnsi="仿宋_GB2312" w:eastAsia="仿宋_GB2312"/>
          <w:b w:val="0"/>
          <w:sz w:val="32"/>
        </w:rPr>
        <w:t>2024年度政府采购支出总额8.48万元，其中：政府采购货物支出6.12万元、政府采购工程支出0.00万元、政府采购服务支出2.36万元。</w:t>
      </w:r>
    </w:p>
    <w:p w14:paraId="1EDDB9B4">
      <w:pPr>
        <w:spacing w:line="580" w:lineRule="exact"/>
        <w:ind w:firstLine="640"/>
        <w:jc w:val="both"/>
      </w:pPr>
      <w:r>
        <w:rPr>
          <w:rFonts w:ascii="仿宋_GB2312" w:hAnsi="仿宋_GB2312" w:eastAsia="仿宋_GB2312"/>
          <w:b w:val="0"/>
          <w:sz w:val="32"/>
        </w:rPr>
        <w:t>授予中小企业合同金额8.41万元，占政府采购支出总额的99.17%，其中：授予小微企业合同金额8.41万元，占政府采购支出总额的99.17%。</w:t>
      </w:r>
    </w:p>
    <w:p w14:paraId="1286B79D">
      <w:pPr>
        <w:spacing w:line="640" w:lineRule="exact"/>
        <w:ind w:firstLine="640"/>
        <w:jc w:val="both"/>
        <w:outlineLvl w:val="3"/>
      </w:pPr>
      <w:r>
        <w:rPr>
          <w:rFonts w:ascii="楷体_GB2312" w:hAnsi="楷体_GB2312" w:eastAsia="楷体_GB2312"/>
          <w:b/>
          <w:sz w:val="32"/>
        </w:rPr>
        <w:t>（三）国有资产占用情况说明</w:t>
      </w:r>
    </w:p>
    <w:p w14:paraId="44B10854">
      <w:pPr>
        <w:spacing w:line="580" w:lineRule="exact"/>
        <w:ind w:firstLine="640"/>
        <w:jc w:val="both"/>
      </w:pPr>
      <w:r>
        <w:rPr>
          <w:rFonts w:ascii="仿宋_GB2312" w:hAnsi="仿宋_GB2312" w:eastAsia="仿宋_GB2312"/>
          <w:b w:val="0"/>
          <w:sz w:val="32"/>
        </w:rPr>
        <w:t>截至2024年12月31日，房屋4,849.50平方米，价值225.52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E193A40">
      <w:pPr>
        <w:spacing w:line="640" w:lineRule="exact"/>
        <w:ind w:firstLine="640"/>
        <w:jc w:val="both"/>
        <w:outlineLvl w:val="2"/>
      </w:pPr>
      <w:r>
        <w:rPr>
          <w:rFonts w:ascii="黑体" w:hAnsi="黑体" w:eastAsia="黑体"/>
          <w:sz w:val="32"/>
        </w:rPr>
        <w:t>十一、预算绩效的情况说明</w:t>
      </w:r>
    </w:p>
    <w:p w14:paraId="2C587B1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316.13万元，实际执行总额306.60万元；预算绩效评价项目0个，全年预算数0.00万元，全年执行数0.00万元。预算绩效管理取得的成效：2024年本单位无预算绩效项目。发现的问题及原因：2024年本单位无预算绩效项目。下一步改进措施：2024年本单位无预算绩效项目。具体附整体支出绩效自评表。</w:t>
      </w:r>
    </w:p>
    <w:p w14:paraId="39A1BF4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565AD1F">
        <w:tblPrEx>
          <w:tblCellMar>
            <w:top w:w="0" w:type="dxa"/>
            <w:left w:w="108" w:type="dxa"/>
            <w:bottom w:w="0" w:type="dxa"/>
            <w:right w:w="108" w:type="dxa"/>
          </w:tblCellMar>
        </w:tblPrEx>
        <w:tc>
          <w:tcPr>
            <w:tcW w:w="8840" w:type="dxa"/>
            <w:gridSpan w:val="8"/>
            <w:vAlign w:val="center"/>
          </w:tcPr>
          <w:p w14:paraId="117B5926">
            <w:pPr>
              <w:jc w:val="center"/>
            </w:pPr>
            <w:r>
              <w:rPr>
                <w:rFonts w:ascii="宋体" w:hAnsi="宋体" w:eastAsia="宋体"/>
                <w:sz w:val="24"/>
              </w:rPr>
              <w:t>单位整体支出绩效自评表</w:t>
            </w:r>
          </w:p>
        </w:tc>
      </w:tr>
      <w:tr w14:paraId="1CEEE3E0">
        <w:tblPrEx>
          <w:tblCellMar>
            <w:top w:w="0" w:type="dxa"/>
            <w:left w:w="108" w:type="dxa"/>
            <w:bottom w:w="0" w:type="dxa"/>
            <w:right w:w="108" w:type="dxa"/>
          </w:tblCellMar>
        </w:tblPrEx>
        <w:tc>
          <w:tcPr>
            <w:tcW w:w="8840" w:type="dxa"/>
            <w:gridSpan w:val="8"/>
            <w:vAlign w:val="center"/>
          </w:tcPr>
          <w:p w14:paraId="4A093AA0">
            <w:pPr>
              <w:jc w:val="center"/>
            </w:pPr>
            <w:r>
              <w:rPr>
                <w:rFonts w:ascii="宋体" w:hAnsi="宋体" w:eastAsia="宋体"/>
                <w:sz w:val="24"/>
              </w:rPr>
              <w:t>（2024年度）</w:t>
            </w:r>
          </w:p>
        </w:tc>
      </w:tr>
      <w:tr w14:paraId="69F54E3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8B3578">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515E7C">
            <w:pPr>
              <w:jc w:val="center"/>
            </w:pPr>
            <w:r>
              <w:rPr>
                <w:rFonts w:ascii="宋体" w:hAnsi="宋体" w:eastAsia="宋体"/>
                <w:sz w:val="16"/>
              </w:rPr>
              <w:t>阿图什市第六幼儿园</w:t>
            </w:r>
          </w:p>
        </w:tc>
      </w:tr>
      <w:tr w14:paraId="7302213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9AF92">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84B0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C06ED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A1C827">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392BC8">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27E63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C6624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059214">
            <w:pPr>
              <w:jc w:val="center"/>
            </w:pPr>
            <w:r>
              <w:rPr>
                <w:rFonts w:ascii="宋体" w:hAnsi="宋体" w:eastAsia="宋体"/>
                <w:sz w:val="16"/>
              </w:rPr>
              <w:t>得分</w:t>
            </w:r>
          </w:p>
        </w:tc>
      </w:tr>
      <w:tr w14:paraId="102779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0400A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82D42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767851">
            <w:pPr>
              <w:jc w:val="center"/>
            </w:pPr>
            <w:r>
              <w:rPr>
                <w:rFonts w:ascii="宋体" w:hAnsi="宋体" w:eastAsia="宋体"/>
                <w:sz w:val="16"/>
              </w:rPr>
              <w:t>395.02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A12671">
            <w:pPr>
              <w:jc w:val="center"/>
            </w:pPr>
            <w:r>
              <w:rPr>
                <w:rFonts w:ascii="宋体" w:hAnsi="宋体" w:eastAsia="宋体"/>
                <w:sz w:val="16"/>
              </w:rPr>
              <w:t>316.13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971FB5">
            <w:pPr>
              <w:jc w:val="center"/>
            </w:pPr>
            <w:r>
              <w:rPr>
                <w:rFonts w:ascii="宋体" w:hAnsi="宋体" w:eastAsia="宋体"/>
                <w:sz w:val="16"/>
              </w:rPr>
              <w:t>306.60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F7B9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6D19F1">
            <w:pPr>
              <w:jc w:val="center"/>
            </w:pPr>
            <w:r>
              <w:rPr>
                <w:rFonts w:ascii="宋体" w:hAnsi="宋体" w:eastAsia="宋体"/>
                <w:sz w:val="16"/>
              </w:rPr>
              <w:t>96.99%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CF1194">
            <w:pPr>
              <w:jc w:val="center"/>
              <w:rPr>
                <w:rFonts w:hint="default" w:eastAsia="宋体"/>
                <w:lang w:val="en-US" w:eastAsia="zh-CN"/>
              </w:rPr>
            </w:pPr>
            <w:r>
              <w:rPr>
                <w:rFonts w:hint="eastAsia" w:ascii="宋体" w:hAnsi="宋体"/>
                <w:sz w:val="16"/>
                <w:lang w:val="en-US" w:eastAsia="zh-CN"/>
              </w:rPr>
              <w:t>9.7</w:t>
            </w:r>
          </w:p>
        </w:tc>
      </w:tr>
      <w:tr w14:paraId="6853942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4FAC0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2F5E3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93F23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37ED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4F55F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03873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912D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8C5C33">
            <w:pPr>
              <w:jc w:val="center"/>
            </w:pPr>
            <w:r>
              <w:rPr>
                <w:rFonts w:ascii="宋体" w:hAnsi="宋体" w:eastAsia="宋体"/>
                <w:sz w:val="16"/>
              </w:rPr>
              <w:t>—</w:t>
            </w:r>
          </w:p>
        </w:tc>
      </w:tr>
      <w:tr w14:paraId="0F5825E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A8E0D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7CEC6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FB398">
            <w:pPr>
              <w:jc w:val="center"/>
            </w:pPr>
            <w:r>
              <w:rPr>
                <w:rFonts w:ascii="宋体" w:hAnsi="宋体" w:eastAsia="宋体"/>
                <w:sz w:val="16"/>
              </w:rPr>
              <w:t>395.02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0DF729">
            <w:pPr>
              <w:jc w:val="center"/>
            </w:pPr>
            <w:r>
              <w:rPr>
                <w:rFonts w:ascii="宋体" w:hAnsi="宋体" w:eastAsia="宋体"/>
                <w:sz w:val="16"/>
              </w:rPr>
              <w:t>316.13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AD9DF2">
            <w:pPr>
              <w:jc w:val="center"/>
            </w:pPr>
            <w:r>
              <w:rPr>
                <w:rFonts w:ascii="宋体" w:hAnsi="宋体" w:eastAsia="宋体"/>
                <w:sz w:val="16"/>
              </w:rPr>
              <w:t>306.60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14E7A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DDAFD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B170AE">
            <w:pPr>
              <w:jc w:val="center"/>
            </w:pPr>
            <w:r>
              <w:rPr>
                <w:rFonts w:ascii="宋体" w:hAnsi="宋体" w:eastAsia="宋体"/>
                <w:sz w:val="16"/>
              </w:rPr>
              <w:t>—</w:t>
            </w:r>
          </w:p>
        </w:tc>
      </w:tr>
      <w:tr w14:paraId="12DD826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3AE9C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2EFEE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BA6E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8B61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03F18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BACA6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41385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7094D7">
            <w:pPr>
              <w:jc w:val="center"/>
            </w:pPr>
            <w:r>
              <w:rPr>
                <w:rFonts w:ascii="宋体" w:hAnsi="宋体" w:eastAsia="宋体"/>
                <w:sz w:val="16"/>
              </w:rPr>
              <w:t>—</w:t>
            </w:r>
          </w:p>
        </w:tc>
      </w:tr>
      <w:tr w14:paraId="0C0343A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D7DF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AE601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30F680">
            <w:pPr>
              <w:jc w:val="center"/>
            </w:pPr>
            <w:r>
              <w:rPr>
                <w:rFonts w:ascii="宋体" w:hAnsi="宋体" w:eastAsia="宋体"/>
                <w:sz w:val="16"/>
              </w:rPr>
              <w:t>实际完成情况</w:t>
            </w:r>
          </w:p>
        </w:tc>
      </w:tr>
      <w:tr w14:paraId="4E60AFA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01C76B"/>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7019CB">
            <w:pPr>
              <w:jc w:val="both"/>
            </w:pPr>
            <w:r>
              <w:rPr>
                <w:rFonts w:ascii="宋体" w:hAnsi="宋体" w:eastAsia="宋体"/>
                <w:sz w:val="16"/>
              </w:rPr>
              <w:t xml:space="preserve">单位基本职能：1.正确贯彻执行党和国家的教育方针、政策、法规；2.维护学校的教学秩序，为学生创造良好的学习环境；3.积极稳妥地推进教育改革，按教育规律办事，不断提高教育质量；4.根据学校规模，设置学校管理机构，建立健全各项规章制度和岗位责任制；5.坚持教书育人，服务育人，环境育人方针，加强对学生思想品德教育，使学生的德智体全面发展；6.抓好教师队伍建设，使每个教师都热心于教育事业；7.做好安全防范，保证学生的人身安全。 </w:t>
            </w:r>
            <w:r>
              <w:rPr>
                <w:rFonts w:ascii="宋体" w:hAnsi="宋体" w:eastAsia="宋体"/>
                <w:sz w:val="16"/>
              </w:rPr>
              <w:br w:type="textWrapping"/>
            </w:r>
            <w:r>
              <w:rPr>
                <w:rFonts w:ascii="宋体" w:hAnsi="宋体" w:eastAsia="宋体"/>
                <w:sz w:val="16"/>
              </w:rPr>
              <w:t xml:space="preserve">编制情况：下设3个处室，单位编制数22人，实有人数21人，在职21人。 </w:t>
            </w:r>
            <w:r>
              <w:rPr>
                <w:rFonts w:ascii="宋体" w:hAnsi="宋体" w:eastAsia="宋体"/>
                <w:sz w:val="16"/>
              </w:rPr>
              <w:br w:type="textWrapping"/>
            </w:r>
            <w:r>
              <w:rPr>
                <w:rFonts w:ascii="宋体" w:hAnsi="宋体" w:eastAsia="宋体"/>
                <w:sz w:val="16"/>
              </w:rPr>
              <w:t xml:space="preserve">中长期规划：从幼儿园发展规划及教师的实际出发,坚持师资队伍建设发展的原则,加大教师培养力度,打造新一轮教师发展梯队,整体提高幼儿园教师的师德师能水平,建设一支业务水平高、专业素质强的教师队伍。提高幼儿园的管理模式和教育质量，壮大师资团队，创建疆内高品质、有特色、创一流的幼儿园。 </w:t>
            </w:r>
            <w:r>
              <w:rPr>
                <w:rFonts w:ascii="宋体" w:hAnsi="宋体" w:eastAsia="宋体"/>
                <w:sz w:val="16"/>
              </w:rPr>
              <w:br w:type="textWrapping"/>
            </w:r>
            <w:r>
              <w:rPr>
                <w:rFonts w:ascii="宋体" w:hAnsi="宋体" w:eastAsia="宋体"/>
                <w:sz w:val="16"/>
              </w:rPr>
              <w:t xml:space="preserve">  保障部门在职21人的各项工资福利补助正常发放及部门正常运转。通过开展丰富多彩的师德教育活动，促进教师师德水平的提高。积极探索新形势下师德建设的新途径，努力提高师德建设的质量和水平。</w:t>
            </w:r>
            <w:r>
              <w:rPr>
                <w:rFonts w:ascii="宋体" w:hAnsi="宋体" w:eastAsia="宋体"/>
                <w:sz w:val="16"/>
              </w:rPr>
              <w:br w:type="textWrapping"/>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5B6C5F">
            <w:pPr>
              <w:jc w:val="both"/>
            </w:pPr>
            <w:r>
              <w:rPr>
                <w:rFonts w:ascii="宋体" w:hAnsi="宋体" w:eastAsia="宋体"/>
                <w:sz w:val="16"/>
              </w:rPr>
              <w:t xml:space="preserve">本单位共计支出306.6万元，主要用于保障部门在职21人的各项工资福利补助正常发放及部门正常运转,通过开展丰富多彩的师德教育活动，促教师师德水平的提高,积极探索新形势下师德建设的新途径，努力提高师德建设的质量和水平；年度任务中完成开展各类安全教育工作40次，教师教育学习人数21人，保障单位日常运转期限12个月，开展安全隐患排查覆盖率达到100%等目标。 </w:t>
            </w:r>
            <w:r>
              <w:rPr>
                <w:rFonts w:ascii="宋体" w:hAnsi="宋体" w:eastAsia="宋体"/>
                <w:sz w:val="16"/>
              </w:rPr>
              <w:br w:type="textWrapping"/>
            </w:r>
          </w:p>
        </w:tc>
      </w:tr>
      <w:tr w14:paraId="508E0E5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2F1B0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4F806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16BBF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C85F69">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3AE8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B1E4A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0981F3">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7BC2AF">
            <w:pPr>
              <w:jc w:val="center"/>
            </w:pPr>
            <w:r>
              <w:rPr>
                <w:rFonts w:ascii="宋体" w:hAnsi="宋体" w:eastAsia="宋体"/>
                <w:sz w:val="16"/>
              </w:rPr>
              <w:t>得分</w:t>
            </w:r>
          </w:p>
        </w:tc>
      </w:tr>
      <w:tr w14:paraId="40FBDC9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444C0">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31A6F">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9047EE">
            <w:pPr>
              <w:jc w:val="center"/>
            </w:pPr>
            <w:r>
              <w:rPr>
                <w:rFonts w:ascii="宋体" w:hAnsi="宋体" w:eastAsia="宋体"/>
                <w:sz w:val="16"/>
              </w:rPr>
              <w:t>政府采购规范率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531AA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B2F296">
            <w:pPr>
              <w:jc w:val="center"/>
            </w:pPr>
            <w:r>
              <w:rPr>
                <w:rFonts w:ascii="宋体" w:hAnsi="宋体" w:eastAsia="宋体"/>
                <w:sz w:val="16"/>
              </w:rPr>
              <w:t>政府采购管理办法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8C153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4656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ACC037">
            <w:pPr>
              <w:jc w:val="center"/>
            </w:pPr>
            <w:r>
              <w:rPr>
                <w:rFonts w:ascii="宋体" w:hAnsi="宋体" w:eastAsia="宋体"/>
                <w:sz w:val="16"/>
              </w:rPr>
              <w:t>15</w:t>
            </w:r>
          </w:p>
        </w:tc>
      </w:tr>
      <w:tr w14:paraId="1C5BC48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51995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3A4C8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47B16C">
            <w:pPr>
              <w:jc w:val="center"/>
            </w:pPr>
            <w:r>
              <w:rPr>
                <w:rFonts w:ascii="宋体" w:hAnsi="宋体" w:eastAsia="宋体"/>
                <w:sz w:val="16"/>
              </w:rPr>
              <w:t>幼儿教育教学工作完成率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9F7A4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88B619">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D7130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507D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4210D0">
            <w:pPr>
              <w:jc w:val="center"/>
            </w:pPr>
            <w:r>
              <w:rPr>
                <w:rFonts w:ascii="宋体" w:hAnsi="宋体" w:eastAsia="宋体"/>
                <w:sz w:val="16"/>
              </w:rPr>
              <w:t>15</w:t>
            </w:r>
          </w:p>
        </w:tc>
      </w:tr>
      <w:tr w14:paraId="7B6AC5E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E6AE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E1D2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3DCF0E">
            <w:pPr>
              <w:jc w:val="center"/>
            </w:pPr>
            <w:r>
              <w:rPr>
                <w:rFonts w:ascii="宋体" w:hAnsi="宋体" w:eastAsia="宋体"/>
                <w:sz w:val="16"/>
              </w:rPr>
              <w:t>开展各类安全教育工作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9C87C7">
            <w:pPr>
              <w:jc w:val="center"/>
            </w:pPr>
            <w:r>
              <w:rPr>
                <w:rFonts w:ascii="宋体" w:hAnsi="宋体" w:eastAsia="宋体"/>
                <w:sz w:val="16"/>
              </w:rPr>
              <w:t>&gt;=40次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87506B">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65393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97E84">
            <w:pPr>
              <w:jc w:val="center"/>
            </w:pPr>
            <w:r>
              <w:rPr>
                <w:rFonts w:ascii="宋体" w:hAnsi="宋体" w:eastAsia="宋体"/>
                <w:sz w:val="16"/>
              </w:rPr>
              <w:t>40次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CE8276">
            <w:pPr>
              <w:jc w:val="center"/>
            </w:pPr>
            <w:r>
              <w:rPr>
                <w:rFonts w:ascii="宋体" w:hAnsi="宋体" w:eastAsia="宋体"/>
                <w:sz w:val="16"/>
              </w:rPr>
              <w:t>15</w:t>
            </w:r>
          </w:p>
        </w:tc>
      </w:tr>
      <w:tr w14:paraId="787AE4B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22899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C7DB3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49A440">
            <w:pPr>
              <w:jc w:val="center"/>
            </w:pPr>
            <w:r>
              <w:rPr>
                <w:rFonts w:ascii="宋体" w:hAnsi="宋体" w:eastAsia="宋体"/>
                <w:sz w:val="16"/>
              </w:rPr>
              <w:t>教师教育学习人数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3D06D0">
            <w:pPr>
              <w:jc w:val="center"/>
            </w:pPr>
            <w:r>
              <w:rPr>
                <w:rFonts w:ascii="宋体" w:hAnsi="宋体" w:eastAsia="宋体"/>
                <w:sz w:val="16"/>
              </w:rPr>
              <w:t>&gt;=21人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3A08BA">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C4973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82CB54">
            <w:pPr>
              <w:jc w:val="center"/>
            </w:pPr>
            <w:r>
              <w:rPr>
                <w:rFonts w:ascii="宋体" w:hAnsi="宋体" w:eastAsia="宋体"/>
                <w:sz w:val="16"/>
              </w:rPr>
              <w:t>21人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CBCC8C">
            <w:pPr>
              <w:jc w:val="center"/>
            </w:pPr>
            <w:r>
              <w:rPr>
                <w:rFonts w:ascii="宋体" w:hAnsi="宋体" w:eastAsia="宋体"/>
                <w:sz w:val="16"/>
              </w:rPr>
              <w:t>15</w:t>
            </w:r>
          </w:p>
        </w:tc>
      </w:tr>
      <w:tr w14:paraId="063B3AC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BD6FD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9DD4C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BFA476">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D5F6C">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EBE919">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E45C2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438630">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182ED4">
            <w:pPr>
              <w:jc w:val="center"/>
            </w:pPr>
            <w:r>
              <w:rPr>
                <w:rFonts w:ascii="宋体" w:hAnsi="宋体" w:eastAsia="宋体"/>
                <w:sz w:val="16"/>
              </w:rPr>
              <w:t>15</w:t>
            </w:r>
          </w:p>
        </w:tc>
      </w:tr>
      <w:tr w14:paraId="43339E7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75D9B7">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0AA8B8">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3F5C68">
            <w:pPr>
              <w:jc w:val="center"/>
            </w:pPr>
            <w:r>
              <w:rPr>
                <w:rFonts w:ascii="宋体" w:hAnsi="宋体" w:eastAsia="宋体"/>
                <w:sz w:val="16"/>
              </w:rPr>
              <w:t>开展安全隐患排查覆盖率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4475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9C31AC">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C749D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ACFC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BA7969">
            <w:pPr>
              <w:jc w:val="center"/>
            </w:pPr>
            <w:r>
              <w:rPr>
                <w:rFonts w:ascii="宋体" w:hAnsi="宋体" w:eastAsia="宋体"/>
                <w:sz w:val="16"/>
              </w:rPr>
              <w:t>15</w:t>
            </w:r>
          </w:p>
        </w:tc>
      </w:tr>
    </w:tbl>
    <w:p w14:paraId="7EFA1DDC">
      <w:r>
        <w:br w:type="page"/>
      </w:r>
    </w:p>
    <w:p w14:paraId="2C71105E">
      <w:pPr>
        <w:spacing w:line="640" w:lineRule="exact"/>
        <w:ind w:firstLine="640"/>
        <w:jc w:val="both"/>
        <w:outlineLvl w:val="2"/>
      </w:pPr>
      <w:r>
        <w:rPr>
          <w:rFonts w:ascii="黑体" w:hAnsi="黑体" w:eastAsia="黑体"/>
          <w:sz w:val="32"/>
        </w:rPr>
        <w:t>十二、其他需说明的事项</w:t>
      </w:r>
    </w:p>
    <w:p w14:paraId="5797C145">
      <w:pPr>
        <w:spacing w:line="580" w:lineRule="exact"/>
        <w:ind w:firstLine="640"/>
        <w:jc w:val="both"/>
      </w:pPr>
      <w:r>
        <w:rPr>
          <w:rFonts w:ascii="仿宋_GB2312" w:hAnsi="仿宋_GB2312" w:eastAsia="仿宋_GB2312"/>
          <w:b w:val="0"/>
          <w:sz w:val="32"/>
        </w:rPr>
        <w:t>本单位无其他需说明的事项。</w:t>
      </w:r>
    </w:p>
    <w:p w14:paraId="4EC8FF4A">
      <w:r>
        <w:br w:type="page"/>
      </w:r>
    </w:p>
    <w:p w14:paraId="1C09BA55">
      <w:pPr>
        <w:spacing w:line="240" w:lineRule="auto"/>
        <w:jc w:val="center"/>
        <w:outlineLvl w:val="1"/>
      </w:pPr>
      <w:r>
        <w:rPr>
          <w:rFonts w:ascii="黑体" w:hAnsi="黑体" w:eastAsia="黑体"/>
          <w:sz w:val="32"/>
        </w:rPr>
        <w:t>第三部分 专业名词解释</w:t>
      </w:r>
    </w:p>
    <w:p w14:paraId="281CD9F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C4B52B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7E9CC2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169123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AD91F3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AF2759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1933E8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33CBE3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E88857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1269D6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44422D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A92E03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879C2F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52774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107E897">
      <w:r>
        <w:br w:type="page"/>
      </w:r>
    </w:p>
    <w:p w14:paraId="4530B68D">
      <w:pPr>
        <w:spacing w:line="240" w:lineRule="auto"/>
        <w:jc w:val="center"/>
        <w:outlineLvl w:val="1"/>
      </w:pPr>
      <w:r>
        <w:rPr>
          <w:rFonts w:ascii="黑体" w:hAnsi="黑体" w:eastAsia="黑体"/>
          <w:sz w:val="32"/>
        </w:rPr>
        <w:t>第四部分 部门决算报表（见附表）</w:t>
      </w:r>
    </w:p>
    <w:p w14:paraId="63DB9567">
      <w:pPr>
        <w:spacing w:line="240" w:lineRule="auto"/>
        <w:ind w:firstLine="640"/>
        <w:jc w:val="both"/>
      </w:pPr>
      <w:r>
        <w:rPr>
          <w:rFonts w:ascii="仿宋_GB2312" w:hAnsi="仿宋_GB2312" w:eastAsia="仿宋_GB2312"/>
          <w:b w:val="0"/>
          <w:sz w:val="32"/>
        </w:rPr>
        <w:t>一、《收入支出决算总表》</w:t>
      </w:r>
    </w:p>
    <w:p w14:paraId="51065A00">
      <w:pPr>
        <w:spacing w:line="240" w:lineRule="auto"/>
        <w:ind w:firstLine="640"/>
        <w:jc w:val="both"/>
      </w:pPr>
      <w:r>
        <w:rPr>
          <w:rFonts w:ascii="仿宋_GB2312" w:hAnsi="仿宋_GB2312" w:eastAsia="仿宋_GB2312"/>
          <w:b w:val="0"/>
          <w:sz w:val="32"/>
        </w:rPr>
        <w:t>二、《收入决算表》</w:t>
      </w:r>
    </w:p>
    <w:p w14:paraId="61C1E696">
      <w:pPr>
        <w:spacing w:line="240" w:lineRule="auto"/>
        <w:ind w:firstLine="640"/>
        <w:jc w:val="both"/>
      </w:pPr>
      <w:r>
        <w:rPr>
          <w:rFonts w:ascii="仿宋_GB2312" w:hAnsi="仿宋_GB2312" w:eastAsia="仿宋_GB2312"/>
          <w:b w:val="0"/>
          <w:sz w:val="32"/>
        </w:rPr>
        <w:t>三、《支出决算表》</w:t>
      </w:r>
    </w:p>
    <w:p w14:paraId="7E132318">
      <w:pPr>
        <w:spacing w:line="240" w:lineRule="auto"/>
        <w:ind w:firstLine="640"/>
        <w:jc w:val="both"/>
      </w:pPr>
      <w:r>
        <w:rPr>
          <w:rFonts w:ascii="仿宋_GB2312" w:hAnsi="仿宋_GB2312" w:eastAsia="仿宋_GB2312"/>
          <w:b w:val="0"/>
          <w:sz w:val="32"/>
        </w:rPr>
        <w:t>四、《财政拨款收入支出决算总表》</w:t>
      </w:r>
    </w:p>
    <w:p w14:paraId="27CB7248">
      <w:pPr>
        <w:spacing w:line="240" w:lineRule="auto"/>
        <w:ind w:firstLine="640"/>
        <w:jc w:val="both"/>
      </w:pPr>
      <w:r>
        <w:rPr>
          <w:rFonts w:ascii="仿宋_GB2312" w:hAnsi="仿宋_GB2312" w:eastAsia="仿宋_GB2312"/>
          <w:b w:val="0"/>
          <w:sz w:val="32"/>
        </w:rPr>
        <w:t>五、《一般公共预算财政拨款支出决算表》</w:t>
      </w:r>
    </w:p>
    <w:p w14:paraId="138AFB1A">
      <w:pPr>
        <w:spacing w:line="240" w:lineRule="auto"/>
        <w:ind w:firstLine="640"/>
        <w:jc w:val="both"/>
      </w:pPr>
      <w:r>
        <w:rPr>
          <w:rFonts w:ascii="仿宋_GB2312" w:hAnsi="仿宋_GB2312" w:eastAsia="仿宋_GB2312"/>
          <w:b w:val="0"/>
          <w:sz w:val="32"/>
        </w:rPr>
        <w:t>六、《一般公共预算财政拨款基本支出决算表》</w:t>
      </w:r>
    </w:p>
    <w:p w14:paraId="515406F1">
      <w:pPr>
        <w:spacing w:line="240" w:lineRule="auto"/>
        <w:ind w:firstLine="640"/>
        <w:jc w:val="both"/>
      </w:pPr>
      <w:r>
        <w:rPr>
          <w:rFonts w:ascii="仿宋_GB2312" w:hAnsi="仿宋_GB2312" w:eastAsia="仿宋_GB2312"/>
          <w:b w:val="0"/>
          <w:sz w:val="32"/>
        </w:rPr>
        <w:t>七、《政府性基金预算财政拨款收入支出决算表》</w:t>
      </w:r>
    </w:p>
    <w:p w14:paraId="3436AC74">
      <w:pPr>
        <w:spacing w:line="240" w:lineRule="auto"/>
        <w:ind w:firstLine="640"/>
        <w:jc w:val="both"/>
      </w:pPr>
      <w:r>
        <w:rPr>
          <w:rFonts w:ascii="仿宋_GB2312" w:hAnsi="仿宋_GB2312" w:eastAsia="仿宋_GB2312"/>
          <w:b w:val="0"/>
          <w:sz w:val="32"/>
        </w:rPr>
        <w:t>八、《国有资本经营预算财政拨款收入支出决算表》</w:t>
      </w:r>
    </w:p>
    <w:p w14:paraId="0539C1E9">
      <w:pPr>
        <w:spacing w:line="240" w:lineRule="auto"/>
        <w:ind w:firstLine="640"/>
        <w:jc w:val="both"/>
      </w:pPr>
      <w:r>
        <w:rPr>
          <w:rFonts w:ascii="仿宋_GB2312" w:hAnsi="仿宋_GB2312" w:eastAsia="仿宋_GB2312"/>
          <w:b w:val="0"/>
          <w:sz w:val="32"/>
        </w:rPr>
        <w:t>九、《财政拨款“三公”经费支出决算表》</w:t>
      </w:r>
    </w:p>
    <w:p w14:paraId="074C4A50">
      <w:pPr>
        <w:spacing w:line="240" w:lineRule="auto"/>
        <w:ind w:firstLine="640"/>
        <w:jc w:val="both"/>
      </w:pPr>
    </w:p>
    <w:p w14:paraId="3B89E875">
      <w:pPr>
        <w:spacing w:line="240" w:lineRule="auto"/>
        <w:ind w:firstLine="640"/>
        <w:jc w:val="both"/>
      </w:pPr>
    </w:p>
    <w:p w14:paraId="074FAC0C">
      <w:pPr>
        <w:spacing w:line="240" w:lineRule="auto"/>
        <w:ind w:firstLine="640"/>
        <w:jc w:val="both"/>
      </w:pPr>
    </w:p>
    <w:p w14:paraId="7D5D6F24">
      <w:pPr>
        <w:spacing w:line="240" w:lineRule="auto"/>
        <w:ind w:firstLine="640"/>
        <w:jc w:val="both"/>
      </w:pPr>
    </w:p>
    <w:p w14:paraId="5330412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C0A077-8D4F-49B4-BE00-EF1699DBC2C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596355F-8A55-423D-A368-BDF4037FF868}"/>
  </w:font>
  <w:font w:name="仿宋_GB2312">
    <w:panose1 w:val="02010609030101010101"/>
    <w:charset w:val="86"/>
    <w:family w:val="modern"/>
    <w:pitch w:val="default"/>
    <w:sig w:usb0="00000001" w:usb1="080E0000" w:usb2="00000000" w:usb3="00000000" w:csb0="00040000" w:csb1="00000000"/>
    <w:embedRegular r:id="rId3" w:fontKey="{4FA1C73F-5D53-4E0D-AB80-973B94633152}"/>
  </w:font>
  <w:font w:name="楷体_GB2312">
    <w:panose1 w:val="02010609030101010101"/>
    <w:charset w:val="86"/>
    <w:family w:val="auto"/>
    <w:pitch w:val="default"/>
    <w:sig w:usb0="00000001" w:usb1="080E0000" w:usb2="00000000" w:usb3="00000000" w:csb0="00040000" w:csb1="00000000"/>
    <w:embedRegular r:id="rId4" w:fontKey="{BCF1733B-D6B4-40E3-9644-7AD25608091D}"/>
  </w:font>
  <w:font w:name="WPSEMBED146">
    <w:panose1 w:val="02010609030101010101"/>
    <w:charset w:val="86"/>
    <w:family w:val="auto"/>
    <w:pitch w:val="default"/>
    <w:sig w:usb0="00000001" w:usb1="080E0000" w:usb2="00000000" w:usb3="00000000" w:csb0="00040000" w:csb1="00000000"/>
  </w:font>
  <w:font w:name="WPSEMBED147">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853AA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1C66D7"/>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3830</Words>
  <Characters>4434</Characters>
  <Lines>0</Lines>
  <Paragraphs>0</Paragraphs>
  <TotalTime>13</TotalTime>
  <ScaleCrop>false</ScaleCrop>
  <LinksUpToDate>false</LinksUpToDate>
  <CharactersWithSpaces>4442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2025-09-08T09:13:50Z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