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1CF519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阿图什市供销合作社联合社2024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3F7D9B">
      <w:r>
        <w:br w:type="page"/>
      </w:r>
    </w:p>
    <w:p w14:paraId="27C3D63D">
      <w:pPr>
        <w:spacing w:line="640" w:lineRule="exact"/>
        <w:jc w:val="center"/>
        <w:outlineLvl w:val="1"/>
      </w:pPr>
      <w:r>
        <w:rPr>
          <w:rFonts w:ascii="黑体" w:hAnsi="黑体" w:eastAsia="黑体"/>
          <w:sz w:val="32"/>
        </w:rPr>
        <w:t>第一部分 单位概况</w:t>
      </w:r>
    </w:p>
    <w:p w14:paraId="7EC04A24">
      <w:pPr>
        <w:spacing w:line="640" w:lineRule="exact"/>
        <w:ind w:firstLine="640"/>
        <w:jc w:val="both"/>
        <w:outlineLvl w:val="2"/>
      </w:pPr>
      <w:r>
        <w:rPr>
          <w:rFonts w:ascii="黑体" w:hAnsi="黑体" w:eastAsia="黑体"/>
          <w:sz w:val="32"/>
        </w:rPr>
        <w:t>一、主要职能</w:t>
      </w:r>
    </w:p>
    <w:p w14:paraId="79E43841">
      <w:pPr>
        <w:spacing w:line="580" w:lineRule="exact"/>
        <w:ind w:firstLine="640"/>
        <w:jc w:val="both"/>
      </w:pPr>
      <w:r>
        <w:rPr>
          <w:rFonts w:ascii="仿宋_GB2312" w:hAnsi="仿宋_GB2312" w:eastAsia="仿宋_GB2312"/>
          <w:sz w:val="32"/>
        </w:rPr>
        <w:t>承担全市供销社系统的改革、发展、协调、稳定、管理、监督等工作任务、制定全市供销社的发展战略、发展目标和规划，指导全市供销社建立，发展和完善农业社会服务体系促进城乡物质交流加快和推进农村现代流通服务体系建设。</w:t>
      </w:r>
    </w:p>
    <w:p w14:paraId="34892C80">
      <w:pPr>
        <w:spacing w:line="640" w:lineRule="exact"/>
        <w:ind w:firstLine="640"/>
        <w:jc w:val="both"/>
        <w:outlineLvl w:val="2"/>
      </w:pPr>
      <w:r>
        <w:rPr>
          <w:rFonts w:ascii="黑体" w:hAnsi="黑体" w:eastAsia="黑体"/>
          <w:sz w:val="32"/>
        </w:rPr>
        <w:t>二、机构设置及人员情况</w:t>
      </w:r>
    </w:p>
    <w:p w14:paraId="5BF9DBA5">
      <w:pPr>
        <w:spacing w:line="580" w:lineRule="exact"/>
        <w:ind w:firstLine="640"/>
        <w:jc w:val="both"/>
      </w:pPr>
      <w:r>
        <w:rPr>
          <w:rFonts w:ascii="仿宋_GB2312" w:hAnsi="仿宋_GB2312" w:eastAsia="仿宋_GB2312"/>
          <w:sz w:val="32"/>
        </w:rPr>
        <w:t>阿图什市供销合作社联合社2024年度，实有人数11人，其中：在职人员7人，增加0人；离休人员0人，增加0人；退休人员4人,增加0人。</w:t>
      </w:r>
    </w:p>
    <w:p w14:paraId="4110F6FA">
      <w:pPr>
        <w:spacing w:line="580" w:lineRule="exact"/>
        <w:ind w:firstLine="640"/>
        <w:jc w:val="both"/>
      </w:pPr>
      <w:r>
        <w:rPr>
          <w:rFonts w:ascii="仿宋_GB2312" w:hAnsi="仿宋_GB2312" w:eastAsia="仿宋_GB2312"/>
          <w:sz w:val="32"/>
        </w:rPr>
        <w:t>阿图什市供销合作社联合社无下属预算单位，下设4个科室，分别是：办公室、财务室、合作指导科、经济建设科。</w:t>
      </w:r>
    </w:p>
    <w:p w14:paraId="5C36E156">
      <w:r>
        <w:br w:type="page"/>
      </w:r>
    </w:p>
    <w:p w14:paraId="4893CAE1">
      <w:pPr>
        <w:spacing w:line="240" w:lineRule="auto"/>
        <w:jc w:val="center"/>
        <w:outlineLvl w:val="1"/>
      </w:pPr>
      <w:r>
        <w:rPr>
          <w:rFonts w:ascii="黑体" w:hAnsi="黑体" w:eastAsia="黑体"/>
          <w:sz w:val="32"/>
        </w:rPr>
        <w:t>第二部分 部门决算情况说明</w:t>
      </w:r>
    </w:p>
    <w:p w14:paraId="4996BAF5">
      <w:pPr>
        <w:spacing w:line="640" w:lineRule="exact"/>
        <w:ind w:firstLine="640"/>
        <w:jc w:val="both"/>
        <w:outlineLvl w:val="2"/>
      </w:pPr>
      <w:r>
        <w:rPr>
          <w:rFonts w:ascii="黑体" w:hAnsi="黑体" w:eastAsia="黑体"/>
          <w:sz w:val="32"/>
        </w:rPr>
        <w:t>一、收入支出决算总体情况说明</w:t>
      </w:r>
    </w:p>
    <w:p w14:paraId="4322B003">
      <w:pPr>
        <w:spacing w:line="580" w:lineRule="exact"/>
        <w:ind w:firstLine="640"/>
        <w:jc w:val="both"/>
      </w:pPr>
      <w:r>
        <w:rPr>
          <w:rFonts w:ascii="仿宋_GB2312" w:hAnsi="仿宋_GB2312" w:eastAsia="仿宋_GB2312"/>
          <w:b/>
          <w:sz w:val="32"/>
        </w:rPr>
        <w:t>2024年度收入总计166.00万元，</w:t>
      </w:r>
      <w:r>
        <w:rPr>
          <w:rFonts w:ascii="仿宋_GB2312" w:hAnsi="仿宋_GB2312" w:eastAsia="仿宋_GB2312"/>
          <w:b w:val="0"/>
          <w:sz w:val="32"/>
        </w:rPr>
        <w:t>其中：本年收入合计135.73万元，使用非财政拨款结余（含专用结余）0.00万元，年初结转和结余30.28万元。</w:t>
      </w:r>
    </w:p>
    <w:p w14:paraId="174C81FE">
      <w:pPr>
        <w:spacing w:line="580" w:lineRule="exact"/>
        <w:ind w:firstLine="640"/>
        <w:jc w:val="both"/>
      </w:pPr>
      <w:r>
        <w:rPr>
          <w:rFonts w:ascii="仿宋_GB2312" w:hAnsi="仿宋_GB2312" w:eastAsia="仿宋_GB2312"/>
          <w:b/>
          <w:sz w:val="32"/>
        </w:rPr>
        <w:t>2024年度支出总计166.00万元，</w:t>
      </w:r>
      <w:r>
        <w:rPr>
          <w:rFonts w:ascii="仿宋_GB2312" w:hAnsi="仿宋_GB2312" w:eastAsia="仿宋_GB2312"/>
          <w:b w:val="0"/>
          <w:sz w:val="32"/>
        </w:rPr>
        <w:t>其中：本年支出合计147.56万元，结余分配0.00万元，年末结转和结余18.44万元。</w:t>
      </w:r>
    </w:p>
    <w:p w14:paraId="53E28B44">
      <w:pPr>
        <w:spacing w:line="580" w:lineRule="exact"/>
        <w:ind w:firstLine="640"/>
        <w:jc w:val="both"/>
      </w:pPr>
      <w:r>
        <w:rPr>
          <w:rFonts w:ascii="仿宋_GB2312" w:hAnsi="仿宋_GB2312" w:eastAsia="仿宋_GB2312"/>
          <w:b w:val="0"/>
          <w:sz w:val="32"/>
        </w:rPr>
        <w:t>收入支出总体与上年相比，增加32.06万元，增长23.94%，主要原因是：本年增加收回棉麻公司欠款</w:t>
      </w:r>
      <w:bookmarkStart w:id="0" w:name="_GoBack"/>
      <w:bookmarkEnd w:id="0"/>
      <w:r>
        <w:rPr>
          <w:rFonts w:ascii="仿宋_GB2312" w:hAnsi="仿宋_GB2312" w:eastAsia="仿宋_GB2312"/>
          <w:b w:val="0"/>
          <w:sz w:val="32"/>
        </w:rPr>
        <w:t>资金。</w:t>
      </w:r>
    </w:p>
    <w:p w14:paraId="424266D2">
      <w:pPr>
        <w:spacing w:line="640" w:lineRule="exact"/>
        <w:ind w:firstLine="640"/>
        <w:jc w:val="both"/>
        <w:outlineLvl w:val="2"/>
      </w:pPr>
      <w:r>
        <w:rPr>
          <w:rFonts w:ascii="黑体" w:hAnsi="黑体" w:eastAsia="黑体"/>
          <w:sz w:val="32"/>
        </w:rPr>
        <w:t>二、收入决算情况说明</w:t>
      </w:r>
    </w:p>
    <w:p w14:paraId="02EA3F05">
      <w:pPr>
        <w:spacing w:line="580" w:lineRule="exact"/>
        <w:ind w:firstLine="640"/>
        <w:jc w:val="both"/>
      </w:pPr>
      <w:r>
        <w:rPr>
          <w:rFonts w:ascii="仿宋_GB2312" w:hAnsi="仿宋_GB2312" w:eastAsia="仿宋_GB2312"/>
          <w:b/>
          <w:sz w:val="32"/>
        </w:rPr>
        <w:t>本年收入135.73万元，</w:t>
      </w:r>
      <w:r>
        <w:rPr>
          <w:rFonts w:ascii="仿宋_GB2312" w:hAnsi="仿宋_GB2312" w:eastAsia="仿宋_GB2312"/>
          <w:b w:val="0"/>
          <w:sz w:val="32"/>
        </w:rPr>
        <w:t>其中：财政拨款收入135.73万元，占100.00%；上级补助收入0.00万元，占0.00%；事业收入0.00万元，占0.00%；经营收入0.00万元，占0.00%；附属单位上缴收入0.00万元，占0.00%；其他收入0.00万元，占0.00%。</w:t>
      </w:r>
    </w:p>
    <w:p w14:paraId="448CBA26">
      <w:pPr>
        <w:spacing w:line="640" w:lineRule="exact"/>
        <w:ind w:firstLine="640"/>
        <w:jc w:val="both"/>
        <w:outlineLvl w:val="2"/>
      </w:pPr>
      <w:r>
        <w:rPr>
          <w:rFonts w:ascii="黑体" w:hAnsi="黑体" w:eastAsia="黑体"/>
          <w:sz w:val="32"/>
        </w:rPr>
        <w:t>三、支出决算情况说明</w:t>
      </w:r>
    </w:p>
    <w:p w14:paraId="097CA793">
      <w:pPr>
        <w:spacing w:line="580" w:lineRule="exact"/>
        <w:ind w:firstLine="640"/>
        <w:jc w:val="both"/>
      </w:pPr>
      <w:r>
        <w:rPr>
          <w:rFonts w:ascii="仿宋_GB2312" w:hAnsi="仿宋_GB2312" w:eastAsia="仿宋_GB2312"/>
          <w:b/>
          <w:sz w:val="32"/>
        </w:rPr>
        <w:t>本年支出147.56万元，</w:t>
      </w:r>
      <w:r>
        <w:rPr>
          <w:rFonts w:ascii="仿宋_GB2312" w:hAnsi="仿宋_GB2312" w:eastAsia="仿宋_GB2312"/>
          <w:b w:val="0"/>
          <w:sz w:val="32"/>
        </w:rPr>
        <w:t>其中：基本支出147.56万元，占100.00%；项目支出0.00万元，占0.00%；上缴上级支出0.00万元，占0.00%；经营支出0.00万元，占0.00%；对附属单位补助支出0.00万元，占0.00%。</w:t>
      </w:r>
    </w:p>
    <w:p w14:paraId="2CCD5192">
      <w:pPr>
        <w:spacing w:line="640" w:lineRule="exact"/>
        <w:ind w:firstLine="640"/>
        <w:jc w:val="both"/>
        <w:outlineLvl w:val="2"/>
      </w:pPr>
      <w:r>
        <w:rPr>
          <w:rFonts w:ascii="黑体" w:hAnsi="黑体" w:eastAsia="黑体"/>
          <w:sz w:val="32"/>
        </w:rPr>
        <w:t>四、财政拨款收入支出决算总体情况说明</w:t>
      </w:r>
    </w:p>
    <w:p w14:paraId="3D2F2DFA">
      <w:pPr>
        <w:spacing w:line="580" w:lineRule="exact"/>
        <w:ind w:firstLine="640"/>
        <w:jc w:val="both"/>
      </w:pPr>
      <w:r>
        <w:rPr>
          <w:rFonts w:ascii="仿宋_GB2312" w:hAnsi="仿宋_GB2312" w:eastAsia="仿宋_GB2312"/>
          <w:b/>
          <w:sz w:val="32"/>
        </w:rPr>
        <w:t>2024年度财政拨款收入总计135.73万元，</w:t>
      </w:r>
      <w:r>
        <w:rPr>
          <w:rFonts w:ascii="仿宋_GB2312" w:hAnsi="仿宋_GB2312" w:eastAsia="仿宋_GB2312"/>
          <w:b w:val="0"/>
          <w:sz w:val="32"/>
        </w:rPr>
        <w:t>其中：年初财政拨款结转和结余0.00万元，本年财政拨款收入135.73万元。</w:t>
      </w:r>
      <w:r>
        <w:rPr>
          <w:rFonts w:ascii="仿宋_GB2312" w:hAnsi="仿宋_GB2312" w:eastAsia="仿宋_GB2312"/>
          <w:b/>
          <w:sz w:val="32"/>
        </w:rPr>
        <w:t>财政拨款支出总计135.73万元，</w:t>
      </w:r>
      <w:r>
        <w:rPr>
          <w:rFonts w:ascii="仿宋_GB2312" w:hAnsi="仿宋_GB2312" w:eastAsia="仿宋_GB2312"/>
          <w:b w:val="0"/>
          <w:sz w:val="32"/>
        </w:rPr>
        <w:t>其中：年末财政拨款结转和结余0.00万元，本年财政拨款支出135.73万元。</w:t>
      </w:r>
    </w:p>
    <w:p w14:paraId="01709E7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增加2.79万元，增长2.10%，主要原因是：本年在职人员工资调增，社保、公积金基数调增，人员经费增加。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年初预算数170.90万元，决算数135.73万元，预决算差异率-20.58%，主要原因是：年中调减阿图什市供销社办公楼外墙保温材料更换项目经费，导致预决算存在差异。</w:t>
      </w:r>
    </w:p>
    <w:p w14:paraId="4E5F87D2">
      <w:pPr>
        <w:spacing w:line="640" w:lineRule="exact"/>
        <w:ind w:firstLine="640"/>
        <w:jc w:val="both"/>
        <w:outlineLvl w:val="2"/>
      </w:pPr>
      <w:r>
        <w:rPr>
          <w:rFonts w:ascii="黑体" w:hAnsi="黑体" w:eastAsia="黑体"/>
          <w:sz w:val="32"/>
        </w:rPr>
        <w:t>五、一般公共预算财政拨款支出决算情况说明</w:t>
      </w:r>
    </w:p>
    <w:p w14:paraId="0A5FF322">
      <w:pPr>
        <w:spacing w:line="640" w:lineRule="exact"/>
        <w:ind w:firstLine="640"/>
        <w:jc w:val="both"/>
        <w:outlineLvl w:val="3"/>
      </w:pPr>
      <w:r>
        <w:rPr>
          <w:rFonts w:ascii="楷体_GB2312" w:hAnsi="楷体_GB2312" w:eastAsia="楷体_GB2312"/>
          <w:b/>
          <w:sz w:val="32"/>
        </w:rPr>
        <w:t>（一）一般公共预算财政拨款支出决算总体情况</w:t>
      </w:r>
    </w:p>
    <w:p w14:paraId="2183A76A">
      <w:pPr>
        <w:spacing w:line="580" w:lineRule="exact"/>
        <w:ind w:firstLine="640"/>
        <w:jc w:val="both"/>
      </w:pPr>
      <w:r>
        <w:rPr>
          <w:rFonts w:ascii="仿宋_GB2312" w:hAnsi="仿宋_GB2312" w:eastAsia="仿宋_GB2312"/>
          <w:b/>
          <w:sz w:val="32"/>
        </w:rPr>
        <w:t>2024年度一般公共预算财政拨款支出135.73万元，</w:t>
      </w:r>
      <w:r>
        <w:rPr>
          <w:rFonts w:ascii="仿宋_GB2312" w:hAnsi="仿宋_GB2312" w:eastAsia="仿宋_GB2312"/>
          <w:b w:val="0"/>
          <w:sz w:val="32"/>
        </w:rPr>
        <w:t>占本年支出合计的91.98%。</w:t>
      </w:r>
      <w:r>
        <w:rPr>
          <w:rFonts w:ascii="仿宋_GB2312" w:hAnsi="仿宋_GB2312" w:eastAsia="仿宋_GB2312"/>
          <w:b/>
          <w:sz w:val="32"/>
        </w:rPr>
        <w:t>与上年相比，</w:t>
      </w:r>
      <w:r>
        <w:rPr>
          <w:rFonts w:ascii="仿宋_GB2312" w:hAnsi="仿宋_GB2312" w:eastAsia="仿宋_GB2312"/>
          <w:b w:val="0"/>
          <w:sz w:val="32"/>
        </w:rPr>
        <w:t>增加2.79万元，增长2.10%，主要原因是：本年在职人员工资调增，社保、公积金基数调增，人员经费增加。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年初预算数170.90万元，决算数135.73万元，预决算差异率-20.58%，主要原因是：年中调减阿图什市供销社办公楼外墙保温材料更换项目经费，导致预决算存在差异。</w:t>
      </w:r>
    </w:p>
    <w:p w14:paraId="0FA5281C">
      <w:pPr>
        <w:spacing w:line="640" w:lineRule="exact"/>
        <w:ind w:firstLine="640"/>
        <w:jc w:val="both"/>
        <w:outlineLvl w:val="3"/>
      </w:pPr>
      <w:r>
        <w:rPr>
          <w:rFonts w:ascii="楷体_GB2312" w:hAnsi="楷体_GB2312" w:eastAsia="楷体_GB2312"/>
          <w:b/>
          <w:sz w:val="32"/>
        </w:rPr>
        <w:t>（二）一般公共预算财政拨款支出决算结构情况</w:t>
      </w:r>
    </w:p>
    <w:p w14:paraId="3B4DEFC5">
      <w:pPr>
        <w:spacing w:line="580" w:lineRule="exact"/>
        <w:ind w:firstLine="640"/>
        <w:jc w:val="both"/>
      </w:pPr>
      <w:r>
        <w:rPr>
          <w:rFonts w:ascii="仿宋_GB2312" w:hAnsi="仿宋_GB2312" w:eastAsia="仿宋_GB2312"/>
          <w:b w:val="0"/>
          <w:sz w:val="32"/>
        </w:rPr>
        <w:t>1.社会保障和就业支出(类)18.25万元,占13.45%。</w:t>
      </w:r>
    </w:p>
    <w:p w14:paraId="746008B1">
      <w:pPr>
        <w:spacing w:line="580" w:lineRule="exact"/>
        <w:ind w:firstLine="640"/>
        <w:jc w:val="both"/>
      </w:pPr>
      <w:r>
        <w:rPr>
          <w:rFonts w:ascii="仿宋_GB2312" w:hAnsi="仿宋_GB2312" w:eastAsia="仿宋_GB2312"/>
          <w:b w:val="0"/>
          <w:sz w:val="32"/>
        </w:rPr>
        <w:t>2.卫生健康支出(类)3.82万元,占2.81%。</w:t>
      </w:r>
    </w:p>
    <w:p w14:paraId="6BBE3999">
      <w:pPr>
        <w:spacing w:line="580" w:lineRule="exact"/>
        <w:ind w:firstLine="640"/>
        <w:jc w:val="both"/>
      </w:pPr>
      <w:r>
        <w:rPr>
          <w:rFonts w:ascii="仿宋_GB2312" w:hAnsi="仿宋_GB2312" w:eastAsia="仿宋_GB2312"/>
          <w:b w:val="0"/>
          <w:sz w:val="32"/>
        </w:rPr>
        <w:t>3.商业服务业等支出(类)103.37万元,占76.16%。</w:t>
      </w:r>
    </w:p>
    <w:p w14:paraId="083BFF69">
      <w:pPr>
        <w:spacing w:line="580" w:lineRule="exact"/>
        <w:ind w:firstLine="640"/>
        <w:jc w:val="both"/>
      </w:pPr>
      <w:r>
        <w:rPr>
          <w:rFonts w:ascii="仿宋_GB2312" w:hAnsi="仿宋_GB2312" w:eastAsia="仿宋_GB2312"/>
          <w:b w:val="0"/>
          <w:sz w:val="32"/>
        </w:rPr>
        <w:t>4.住房保障支出(类)10.27万元,占7.57%。</w:t>
      </w:r>
    </w:p>
    <w:p w14:paraId="779372FC">
      <w:pPr>
        <w:spacing w:line="640" w:lineRule="exact"/>
        <w:ind w:firstLine="640"/>
        <w:jc w:val="both"/>
        <w:outlineLvl w:val="3"/>
      </w:pPr>
      <w:r>
        <w:rPr>
          <w:rFonts w:ascii="楷体_GB2312" w:hAnsi="楷体_GB2312" w:eastAsia="楷体_GB2312"/>
          <w:b/>
          <w:sz w:val="32"/>
        </w:rPr>
        <w:t>（三）一般公共预算财政拨款支出决算具体情况</w:t>
      </w:r>
    </w:p>
    <w:p w14:paraId="4F8971E3">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1.一般公共服务支出(类)组织事务(款)其他组织事务支出(项):支出决算数为0.00万元，比上年决算减少2.05万元，下降100.00%,主要原因是：本年无采购物资支出。</w:t>
      </w:r>
    </w:p>
    <w:p w14:paraId="217D8604">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2.社会保障和就业支出(类)行政事业单位养老支出(款)事业单位离退休(项):支出决算数为5.49万元，比上年决算增加0.84万元，增长18.06%,主要原因是：本年增加退休人员基础绩效奖，退休费支出增加。</w:t>
      </w:r>
    </w:p>
    <w:p w14:paraId="6F60E4B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12.77万元，比上年决算增加1.45万元，增长12.81%,主要原因是：本年在职人员工资基数调增，养老缴费基数上涨，相应支出增加。</w:t>
      </w:r>
    </w:p>
    <w:p w14:paraId="7ED9F6D3">
      <w:pPr>
        <w:spacing w:line="580" w:lineRule="exact"/>
        <w:ind w:firstLine="640"/>
        <w:jc w:val="both"/>
      </w:pPr>
      <w:r>
        <w:rPr>
          <w:rFonts w:ascii="仿宋_GB2312" w:hAnsi="仿宋_GB2312" w:eastAsia="仿宋_GB2312"/>
          <w:b w:val="0"/>
          <w:sz w:val="32"/>
        </w:rPr>
        <w:t>4.卫生健康支出(类)行政事业单位医疗(款)事业单位医疗(项):支出决算数为3.82万元，比上年决算增加0.50万元，增长15.06%,主要原因是：本年在职人员工资基数调增，医疗缴费基数上涨，相应支出增加。</w:t>
      </w:r>
    </w:p>
    <w:p w14:paraId="7AE32403">
      <w:pPr>
        <w:spacing w:line="580" w:lineRule="exact"/>
        <w:ind w:firstLine="640"/>
        <w:jc w:val="both"/>
      </w:pPr>
      <w:r>
        <w:rPr>
          <w:rFonts w:ascii="仿宋_GB2312" w:hAnsi="仿宋_GB2312" w:eastAsia="仿宋_GB2312"/>
          <w:b w:val="0"/>
          <w:sz w:val="32"/>
        </w:rPr>
        <w:t>5.商业服务业等支出(类)商业流通事务(款)事业运行(项):支出决算数为103.37万元，比上年决算增加1.07万元，增长1.05%,主要原因是：本年在职人员工资调增，导致相关人员经费较上年有所增加。</w:t>
      </w:r>
    </w:p>
    <w:p w14:paraId="42ED07DF">
      <w:pPr>
        <w:spacing w:line="580" w:lineRule="exact"/>
        <w:ind w:firstLine="640"/>
        <w:jc w:val="both"/>
      </w:pPr>
      <w:r>
        <w:rPr>
          <w:rFonts w:ascii="仿宋_GB2312" w:hAnsi="仿宋_GB2312" w:eastAsia="仿宋_GB2312"/>
          <w:b w:val="0"/>
          <w:sz w:val="32"/>
        </w:rPr>
        <w:t>6.住房保障支出(类)住房改革支出(款)住房公积金(项):支出决算数为10.27万元，比上年决算增加0.96万元，增长10.31%,主要原因是：本年在职人员工资基数调增，公积金缴费基数上涨，相应支出增加。</w:t>
      </w:r>
    </w:p>
    <w:p w14:paraId="70BE47DC">
      <w:pPr>
        <w:spacing w:line="640" w:lineRule="exact"/>
        <w:ind w:firstLine="640"/>
        <w:jc w:val="both"/>
        <w:outlineLvl w:val="2"/>
      </w:pPr>
      <w:r>
        <w:rPr>
          <w:rFonts w:ascii="黑体" w:hAnsi="黑体" w:eastAsia="黑体"/>
          <w:sz w:val="32"/>
        </w:rPr>
        <w:t>六、一般公共预算财政拨款基本支出决算情况说明</w:t>
      </w:r>
    </w:p>
    <w:p w14:paraId="4EB1DD97">
      <w:pPr>
        <w:spacing w:line="580" w:lineRule="exact"/>
        <w:ind w:firstLine="640"/>
        <w:jc w:val="both"/>
      </w:pPr>
      <w:r>
        <w:rPr>
          <w:rFonts w:ascii="仿宋_GB2312" w:hAnsi="仿宋_GB2312" w:eastAsia="仿宋_GB2312"/>
          <w:b w:val="0"/>
          <w:sz w:val="32"/>
        </w:rPr>
        <w:t>2024年度一般公共预算财政拨款基本支出135.73万元，其中：</w:t>
      </w:r>
      <w:r>
        <w:rPr>
          <w:rFonts w:ascii="仿宋_GB2312" w:hAnsi="仿宋_GB2312" w:eastAsia="仿宋_GB2312"/>
          <w:b/>
          <w:sz w:val="32"/>
        </w:rPr>
        <w:t>人员经费132.07万元，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23E29483">
      <w:pPr>
        <w:spacing w:line="580" w:lineRule="exact"/>
        <w:ind w:firstLine="640"/>
        <w:jc w:val="both"/>
      </w:pPr>
      <w:r>
        <w:rPr>
          <w:rFonts w:ascii="仿宋_GB2312" w:hAnsi="仿宋_GB2312" w:eastAsia="仿宋_GB2312"/>
          <w:b/>
          <w:sz w:val="32"/>
        </w:rPr>
        <w:t>公用经费3.65万元，</w:t>
      </w:r>
      <w:r>
        <w:rPr>
          <w:rFonts w:ascii="仿宋_GB2312" w:hAnsi="仿宋_GB2312" w:eastAsia="仿宋_GB2312"/>
          <w:b w:val="0"/>
          <w:sz w:val="32"/>
        </w:rPr>
        <w:t>包括：办公费、邮电费、取暖费、委托业务费、其他交通费用。</w:t>
      </w:r>
    </w:p>
    <w:p w14:paraId="3914AA95">
      <w:pPr>
        <w:spacing w:line="640" w:lineRule="exact"/>
        <w:ind w:firstLine="640"/>
        <w:jc w:val="both"/>
        <w:outlineLvl w:val="2"/>
      </w:pPr>
      <w:r>
        <w:rPr>
          <w:rFonts w:ascii="黑体" w:hAnsi="黑体" w:eastAsia="黑体"/>
          <w:sz w:val="32"/>
        </w:rPr>
        <w:t>七、政府性基金预算财政拨款收入支出决算情况说明</w:t>
      </w:r>
    </w:p>
    <w:p w14:paraId="55F4BA1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7F84203">
      <w:pPr>
        <w:spacing w:line="640" w:lineRule="exact"/>
        <w:ind w:firstLine="640"/>
        <w:jc w:val="both"/>
        <w:outlineLvl w:val="2"/>
      </w:pPr>
      <w:r>
        <w:rPr>
          <w:rFonts w:ascii="黑体" w:hAnsi="黑体" w:eastAsia="黑体"/>
          <w:sz w:val="32"/>
        </w:rPr>
        <w:t>八、国有资本经营预算财政拨款收入支出决算情况说明</w:t>
      </w:r>
    </w:p>
    <w:p w14:paraId="15A5F55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ACC679">
      <w:pPr>
        <w:spacing w:line="640" w:lineRule="exact"/>
        <w:ind w:firstLine="640"/>
        <w:jc w:val="both"/>
        <w:outlineLvl w:val="2"/>
      </w:pPr>
      <w:r>
        <w:rPr>
          <w:rFonts w:ascii="黑体" w:hAnsi="黑体" w:eastAsia="黑体"/>
          <w:sz w:val="32"/>
        </w:rPr>
        <w:t>九、财政拨款“三公”经费支出决算情况说明</w:t>
      </w:r>
    </w:p>
    <w:p w14:paraId="1AFC4D0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12FC057">
      <w:pPr>
        <w:spacing w:line="580" w:lineRule="exact"/>
        <w:ind w:firstLine="640"/>
        <w:jc w:val="both"/>
      </w:pPr>
      <w:r>
        <w:rPr>
          <w:rFonts w:ascii="仿宋_GB2312" w:hAnsi="仿宋_GB2312" w:eastAsia="仿宋_GB2312"/>
          <w:b/>
          <w:sz w:val="32"/>
        </w:rPr>
        <w:t>具体情况如下：</w:t>
      </w:r>
    </w:p>
    <w:p w14:paraId="0FF5718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55031A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86B26F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35EAC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C9F3508">
      <w:pPr>
        <w:spacing w:line="640" w:lineRule="exact"/>
        <w:ind w:firstLine="640"/>
        <w:jc w:val="both"/>
        <w:outlineLvl w:val="2"/>
      </w:pPr>
      <w:r>
        <w:rPr>
          <w:rFonts w:ascii="黑体" w:hAnsi="黑体" w:eastAsia="黑体"/>
          <w:sz w:val="32"/>
        </w:rPr>
        <w:t>十、其他重要事项的情况说明</w:t>
      </w:r>
    </w:p>
    <w:p w14:paraId="6A8DB770">
      <w:pPr>
        <w:spacing w:line="640" w:lineRule="exact"/>
        <w:ind w:firstLine="640"/>
        <w:jc w:val="both"/>
        <w:outlineLvl w:val="3"/>
      </w:pPr>
      <w:r>
        <w:rPr>
          <w:rFonts w:ascii="楷体_GB2312" w:hAnsi="楷体_GB2312" w:eastAsia="楷体_GB2312"/>
          <w:b/>
          <w:sz w:val="32"/>
        </w:rPr>
        <w:t>（一）机关运行经费及公用经费支出情况</w:t>
      </w:r>
    </w:p>
    <w:p w14:paraId="24595803">
      <w:pPr>
        <w:spacing w:line="580" w:lineRule="exact"/>
        <w:ind w:firstLine="640"/>
        <w:jc w:val="both"/>
      </w:pPr>
      <w:r>
        <w:rPr>
          <w:rFonts w:ascii="仿宋_GB2312" w:hAnsi="仿宋_GB2312" w:eastAsia="仿宋_GB2312"/>
          <w:b w:val="0"/>
          <w:sz w:val="32"/>
        </w:rPr>
        <w:t>2024年度阿图什市供销合作社联合社（事业单位）公用经费支出3.65万元，比上年减少7.37万元，下降66.88%，主要原因是：严控经费支出，厉行节约，减少经费支出。</w:t>
      </w:r>
    </w:p>
    <w:p w14:paraId="665130F1">
      <w:pPr>
        <w:spacing w:line="640" w:lineRule="exact"/>
        <w:ind w:firstLine="640"/>
        <w:jc w:val="both"/>
        <w:outlineLvl w:val="3"/>
      </w:pPr>
      <w:r>
        <w:rPr>
          <w:rFonts w:ascii="楷体_GB2312" w:hAnsi="楷体_GB2312" w:eastAsia="楷体_GB2312"/>
          <w:b/>
          <w:sz w:val="32"/>
        </w:rPr>
        <w:t>（二）政府采购情况</w:t>
      </w:r>
    </w:p>
    <w:p w14:paraId="251B15FB">
      <w:pPr>
        <w:spacing w:line="580" w:lineRule="exact"/>
        <w:ind w:firstLine="640"/>
        <w:jc w:val="both"/>
      </w:pPr>
      <w:r>
        <w:rPr>
          <w:rFonts w:ascii="仿宋_GB2312" w:hAnsi="仿宋_GB2312" w:eastAsia="仿宋_GB2312"/>
          <w:b w:val="0"/>
          <w:sz w:val="32"/>
        </w:rPr>
        <w:t>2024年度政府采购支出总额10.86万元，其中：政府采购货物支出3.66万元、政府采购工程支出0.00万元、政府采购服务支出7.20万元。</w:t>
      </w:r>
    </w:p>
    <w:p w14:paraId="56569218">
      <w:pPr>
        <w:spacing w:line="580" w:lineRule="exact"/>
        <w:ind w:firstLine="640"/>
        <w:jc w:val="both"/>
      </w:pPr>
      <w:r>
        <w:rPr>
          <w:rFonts w:ascii="仿宋_GB2312" w:hAnsi="仿宋_GB2312" w:eastAsia="仿宋_GB2312"/>
          <w:b w:val="0"/>
          <w:sz w:val="32"/>
        </w:rPr>
        <w:t>授予中小企业合同金额10.51万元，占政府采购支出总额的96.78%，其中：授予小微企业合同金额9.92万元，占政府采购支出总额的91.34%。</w:t>
      </w:r>
    </w:p>
    <w:p w14:paraId="5ADED266">
      <w:pPr>
        <w:spacing w:line="640" w:lineRule="exact"/>
        <w:ind w:firstLine="640"/>
        <w:jc w:val="both"/>
        <w:outlineLvl w:val="3"/>
      </w:pPr>
      <w:r>
        <w:rPr>
          <w:rFonts w:ascii="楷体_GB2312" w:hAnsi="楷体_GB2312" w:eastAsia="楷体_GB2312"/>
          <w:b/>
          <w:sz w:val="32"/>
        </w:rPr>
        <w:t>（三）国有资产占用情况说明</w:t>
      </w:r>
    </w:p>
    <w:p w14:paraId="2A711B9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90BCC12">
      <w:pPr>
        <w:spacing w:line="640" w:lineRule="exact"/>
        <w:ind w:firstLine="640"/>
        <w:jc w:val="both"/>
        <w:outlineLvl w:val="2"/>
      </w:pPr>
      <w:r>
        <w:rPr>
          <w:rFonts w:ascii="黑体" w:hAnsi="黑体" w:eastAsia="黑体"/>
          <w:sz w:val="32"/>
        </w:rPr>
        <w:t>十一、预算绩效的情况说明</w:t>
      </w:r>
    </w:p>
    <w:p w14:paraId="0F38682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166.00万元，实际执行总额147.56万元；预算绩效评价项目2个，全年预算数37.50万元，全年执行数2.03万元。预算绩效管理取得的成效：一是收支管理是一个单位财务管理工作的重中之重，加强收支管理，绩效管理，既是缓解资金供需矛盾，发展事业的需要，也是贯彻执行勤俭办一切事业方针的体现。二是为了加强这一管理，今后要</w:t>
      </w:r>
      <w:r>
        <w:rPr>
          <w:rFonts w:hint="eastAsia" w:ascii="仿宋_GB2312" w:hAnsi="仿宋_GB2312" w:eastAsia="仿宋_GB2312"/>
          <w:b w:val="0"/>
          <w:sz w:val="32"/>
          <w:lang w:eastAsia="zh-CN"/>
        </w:rPr>
        <w:t>建立健全</w:t>
      </w:r>
      <w:r>
        <w:rPr>
          <w:rFonts w:ascii="仿宋_GB2312" w:hAnsi="仿宋_GB2312" w:eastAsia="仿宋_GB2312"/>
          <w:b w:val="0"/>
          <w:sz w:val="32"/>
        </w:rPr>
        <w:t>各项财务制度，这样财务日常工作就可以做到有法可依，有章可循，实现管理的规范化、制度化。三是对一切开支严格按财务制度办理，极大地提高了资金的使用效益，达到了节约支出的目的。四是单位进一步提高预算绩效管理认识，强化以“绩效为中心、对支出结果负责、对社会公众负责”的理念，在绩效目标编制方面，编制单位整体绩效目标和项目绩效目标。加强预算绩效动态监控管理，及时跟踪项目进度，对项目实施中存在的具体问题采取纠偏措施。发现的问题及原因：一是本级财政拨款收入虽然占总收入比重较高，但对其他收入依赖度高，自身造血功能严重不足。二是刚性增支因素较多，比如工作经费、办公经费等，都需要有力的资金保障。基于这些因素，使</w:t>
      </w:r>
      <w:r>
        <w:rPr>
          <w:rFonts w:hint="eastAsia" w:ascii="仿宋_GB2312" w:hAnsi="仿宋_GB2312" w:eastAsia="仿宋_GB2312"/>
          <w:b w:val="0"/>
          <w:sz w:val="32"/>
          <w:lang w:eastAsia="zh-CN"/>
        </w:rPr>
        <w:t>本单位</w:t>
      </w:r>
      <w:r>
        <w:rPr>
          <w:rFonts w:ascii="仿宋_GB2312" w:hAnsi="仿宋_GB2312" w:eastAsia="仿宋_GB2312"/>
          <w:b w:val="0"/>
          <w:sz w:val="32"/>
        </w:rPr>
        <w:t>仍然存在资金短缺、工作开展艰难的局面，需要对专业知识的不断更新，专业水平的不断提高，才能满意今后的财务工作。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单位预算收支核算。制定和完善基本支出、项目支出等各项支出标准,严格按项目和进度执行预算,增强预算的约束力和严肃性；落实预算执行分析,及时了解预算执行差异,合理调整、纠正预算执行偏差，切实提高单位预算收支管理水平。尽可能地做到决算与预算相衔接。二是完善管理制度,进一步加强资产管理，严格按照《固定资产管理办法》的规定加强固定资产管理,及时登记、更新台账，加强资产卡片管理,对各类实物资产进行全面盘点,确保账账、账实相符。三是加强学习如何科学合理制定绩效目标及考核体系，充分发挥绩效工作效用。具体附整体支出绩效自评表，项目支出绩效自评表和评价报告。</w:t>
      </w:r>
    </w:p>
    <w:p w14:paraId="3C60E274">
      <w:r>
        <w:br w:type="page"/>
      </w:r>
    </w:p>
    <w:tbl>
      <w:tblPr>
        <w:tblStyle w:val="9"/>
        <w:tblW w:w="0" w:type="auto"/>
        <w:tblInd w:w="0" w:type="dxa"/>
        <w:tblLayout w:type="autofit"/>
        <w:tblCellMar>
          <w:top w:w="0" w:type="dxa"/>
          <w:left w:w="108" w:type="dxa"/>
          <w:bottom w:w="0" w:type="dxa"/>
          <w:right w:w="108" w:type="dxa"/>
        </w:tblCellMar>
      </w:tblPr>
      <w:tblGrid>
        <w:gridCol w:w="1105"/>
        <w:gridCol w:w="926"/>
        <w:gridCol w:w="1443"/>
        <w:gridCol w:w="946"/>
        <w:gridCol w:w="1105"/>
        <w:gridCol w:w="1105"/>
        <w:gridCol w:w="1105"/>
        <w:gridCol w:w="1105"/>
      </w:tblGrid>
      <w:tr w14:paraId="3C88D403">
        <w:tblPrEx>
          <w:tblCellMar>
            <w:top w:w="0" w:type="dxa"/>
            <w:left w:w="108" w:type="dxa"/>
            <w:bottom w:w="0" w:type="dxa"/>
            <w:right w:w="108" w:type="dxa"/>
          </w:tblCellMar>
        </w:tblPrEx>
        <w:tc>
          <w:tcPr>
            <w:tcW w:w="8840" w:type="dxa"/>
            <w:gridSpan w:val="8"/>
            <w:vAlign w:val="center"/>
          </w:tcPr>
          <w:p w14:paraId="45986D2A">
            <w:pPr>
              <w:jc w:val="center"/>
            </w:pPr>
            <w:r>
              <w:rPr>
                <w:rFonts w:ascii="宋体" w:hAnsi="宋体" w:eastAsia="宋体"/>
                <w:sz w:val="24"/>
              </w:rPr>
              <w:t>单位整体支出绩效自评表</w:t>
            </w:r>
          </w:p>
        </w:tc>
      </w:tr>
      <w:tr w14:paraId="7BCCCD17">
        <w:tblPrEx>
          <w:tblCellMar>
            <w:top w:w="0" w:type="dxa"/>
            <w:left w:w="108" w:type="dxa"/>
            <w:bottom w:w="0" w:type="dxa"/>
            <w:right w:w="108" w:type="dxa"/>
          </w:tblCellMar>
        </w:tblPrEx>
        <w:tc>
          <w:tcPr>
            <w:tcW w:w="8840" w:type="dxa"/>
            <w:gridSpan w:val="8"/>
            <w:vAlign w:val="center"/>
          </w:tcPr>
          <w:p w14:paraId="173F6326">
            <w:pPr>
              <w:jc w:val="center"/>
            </w:pPr>
            <w:r>
              <w:rPr>
                <w:rFonts w:ascii="宋体" w:hAnsi="宋体" w:eastAsia="宋体"/>
                <w:sz w:val="24"/>
              </w:rPr>
              <w:t>（2024年度）</w:t>
            </w:r>
          </w:p>
        </w:tc>
      </w:tr>
      <w:tr w14:paraId="4D202E4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143D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76FEE">
            <w:pPr>
              <w:jc w:val="center"/>
            </w:pPr>
            <w:r>
              <w:rPr>
                <w:rFonts w:ascii="宋体" w:hAnsi="宋体" w:eastAsia="宋体"/>
                <w:sz w:val="16"/>
              </w:rPr>
              <w:t>阿图什市供销合作社联合社</w:t>
            </w:r>
          </w:p>
        </w:tc>
      </w:tr>
      <w:tr w14:paraId="09564B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45D50">
            <w:pPr>
              <w:jc w:val="center"/>
            </w:pPr>
            <w:r>
              <w:rPr>
                <w:rFonts w:ascii="宋体" w:hAnsi="宋体" w:eastAsia="宋体"/>
                <w:sz w:val="16"/>
              </w:rPr>
              <w:t>年度预算（万元）</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20BB8C74">
            <w:pPr>
              <w:jc w:val="center"/>
            </w:pPr>
            <w:r>
              <w:rPr>
                <w:rFonts w:ascii="宋体" w:hAnsi="宋体" w:eastAsia="宋体"/>
                <w:sz w:val="16"/>
              </w:rPr>
              <w:t>资金来源</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0012A15E">
            <w:pPr>
              <w:jc w:val="center"/>
            </w:pPr>
            <w:r>
              <w:rPr>
                <w:rFonts w:ascii="宋体" w:hAnsi="宋体" w:eastAsia="宋体"/>
                <w:sz w:val="16"/>
              </w:rPr>
              <w:t>年初预算数</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6105020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B00F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E091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2D6A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C2B5D">
            <w:pPr>
              <w:jc w:val="center"/>
            </w:pPr>
            <w:r>
              <w:rPr>
                <w:rFonts w:ascii="宋体" w:hAnsi="宋体" w:eastAsia="宋体"/>
                <w:sz w:val="16"/>
              </w:rPr>
              <w:t>得分</w:t>
            </w:r>
          </w:p>
        </w:tc>
      </w:tr>
      <w:tr w14:paraId="22A01E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318DAC"/>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3546633A">
            <w:pPr>
              <w:jc w:val="center"/>
            </w:pPr>
            <w:r>
              <w:rPr>
                <w:rFonts w:ascii="宋体" w:hAnsi="宋体" w:eastAsia="宋体"/>
                <w:sz w:val="16"/>
              </w:rPr>
              <w:t>年度总资金：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1C80DA2A">
            <w:pPr>
              <w:jc w:val="center"/>
            </w:pPr>
            <w:r>
              <w:rPr>
                <w:rFonts w:ascii="宋体" w:hAnsi="宋体" w:eastAsia="宋体"/>
                <w:sz w:val="16"/>
              </w:rPr>
              <w:t>170.89</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446E84CE">
            <w:pPr>
              <w:jc w:val="center"/>
            </w:pPr>
            <w:r>
              <w:rPr>
                <w:rFonts w:ascii="宋体" w:hAnsi="宋体" w:eastAsia="宋体"/>
                <w:sz w:val="16"/>
              </w:rPr>
              <w:t>166.00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81E8A">
            <w:pPr>
              <w:jc w:val="center"/>
            </w:pPr>
            <w:r>
              <w:rPr>
                <w:rFonts w:ascii="宋体" w:hAnsi="宋体" w:eastAsia="宋体"/>
                <w:sz w:val="16"/>
              </w:rPr>
              <w:t>147.56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A65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0ECE0">
            <w:pPr>
              <w:jc w:val="center"/>
            </w:pPr>
            <w:r>
              <w:rPr>
                <w:rFonts w:ascii="宋体" w:hAnsi="宋体" w:eastAsia="宋体"/>
                <w:sz w:val="16"/>
              </w:rPr>
              <w:t>88.89%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54F10">
            <w:pPr>
              <w:jc w:val="center"/>
              <w:rPr>
                <w:rFonts w:hint="default" w:eastAsia="宋体"/>
                <w:lang w:val="en-US" w:eastAsia="zh-CN"/>
              </w:rPr>
            </w:pPr>
            <w:r>
              <w:rPr>
                <w:rFonts w:hint="eastAsia" w:ascii="宋体" w:hAnsi="宋体"/>
                <w:sz w:val="16"/>
                <w:lang w:val="en-US" w:eastAsia="zh-CN"/>
              </w:rPr>
              <w:t>8.9</w:t>
            </w:r>
          </w:p>
        </w:tc>
      </w:tr>
      <w:tr w14:paraId="6718E3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0491F7"/>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168C236D">
            <w:pPr>
              <w:jc w:val="center"/>
            </w:pPr>
            <w:r>
              <w:rPr>
                <w:rFonts w:ascii="宋体" w:hAnsi="宋体" w:eastAsia="宋体"/>
                <w:sz w:val="16"/>
              </w:rPr>
              <w:t>上级资金：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61931E39">
            <w:pPr>
              <w:jc w:val="center"/>
            </w:pPr>
            <w:r>
              <w:rPr>
                <w:rFonts w:ascii="宋体" w:hAnsi="宋体" w:eastAsia="宋体"/>
                <w:sz w:val="16"/>
              </w:rPr>
              <w:t>0.00</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6DE6413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401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ECC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C189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06F10">
            <w:pPr>
              <w:jc w:val="center"/>
            </w:pPr>
            <w:r>
              <w:rPr>
                <w:rFonts w:ascii="宋体" w:hAnsi="宋体" w:eastAsia="宋体"/>
                <w:sz w:val="16"/>
              </w:rPr>
              <w:t>—</w:t>
            </w:r>
          </w:p>
        </w:tc>
      </w:tr>
      <w:tr w14:paraId="5E35B8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5E62CB"/>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4FDC4F04">
            <w:pPr>
              <w:jc w:val="center"/>
            </w:pPr>
            <w:r>
              <w:rPr>
                <w:rFonts w:ascii="宋体" w:hAnsi="宋体" w:eastAsia="宋体"/>
                <w:sz w:val="16"/>
              </w:rPr>
              <w:t>本级资金：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48FA7CBE">
            <w:pPr>
              <w:jc w:val="center"/>
            </w:pPr>
            <w:r>
              <w:rPr>
                <w:rFonts w:ascii="宋体" w:hAnsi="宋体" w:eastAsia="宋体"/>
                <w:sz w:val="16"/>
              </w:rPr>
              <w:t>170.89</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5E2F2E74">
            <w:pPr>
              <w:jc w:val="center"/>
            </w:pPr>
            <w:r>
              <w:rPr>
                <w:rFonts w:ascii="宋体" w:hAnsi="宋体" w:eastAsia="宋体"/>
                <w:sz w:val="16"/>
              </w:rPr>
              <w:t>166.00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60706">
            <w:pPr>
              <w:jc w:val="center"/>
            </w:pPr>
            <w:r>
              <w:rPr>
                <w:rFonts w:ascii="宋体" w:hAnsi="宋体" w:eastAsia="宋体"/>
                <w:sz w:val="16"/>
              </w:rPr>
              <w:t>147.56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906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2E1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7B780">
            <w:pPr>
              <w:jc w:val="center"/>
            </w:pPr>
            <w:r>
              <w:rPr>
                <w:rFonts w:ascii="宋体" w:hAnsi="宋体" w:eastAsia="宋体"/>
                <w:sz w:val="16"/>
              </w:rPr>
              <w:t>—</w:t>
            </w:r>
          </w:p>
        </w:tc>
      </w:tr>
      <w:tr w14:paraId="2E13A0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96F5C2"/>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7D42A524">
            <w:pPr>
              <w:jc w:val="center"/>
            </w:pPr>
            <w:r>
              <w:rPr>
                <w:rFonts w:ascii="宋体" w:hAnsi="宋体" w:eastAsia="宋体"/>
                <w:sz w:val="16"/>
              </w:rPr>
              <w:t>其他资金：</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6B510C2F">
            <w:pPr>
              <w:jc w:val="center"/>
            </w:pPr>
            <w:r>
              <w:rPr>
                <w:rFonts w:ascii="宋体" w:hAnsi="宋体" w:eastAsia="宋体"/>
                <w:sz w:val="16"/>
              </w:rPr>
              <w:t>0.00</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695A59A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4003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CF0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E91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EEF0D0">
            <w:pPr>
              <w:jc w:val="center"/>
            </w:pPr>
            <w:r>
              <w:rPr>
                <w:rFonts w:ascii="宋体" w:hAnsi="宋体" w:eastAsia="宋体"/>
                <w:sz w:val="16"/>
              </w:rPr>
              <w:t>—</w:t>
            </w:r>
          </w:p>
        </w:tc>
      </w:tr>
      <w:tr w14:paraId="4D8989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5E8B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4D384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77D435">
            <w:pPr>
              <w:jc w:val="center"/>
            </w:pPr>
            <w:r>
              <w:rPr>
                <w:rFonts w:ascii="宋体" w:hAnsi="宋体" w:eastAsia="宋体"/>
                <w:sz w:val="16"/>
              </w:rPr>
              <w:t>实际完成情况</w:t>
            </w:r>
          </w:p>
        </w:tc>
      </w:tr>
      <w:tr w14:paraId="3C4B1B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CA51C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889169">
            <w:pPr>
              <w:jc w:val="both"/>
            </w:pPr>
            <w:r>
              <w:rPr>
                <w:rFonts w:ascii="宋体" w:hAnsi="宋体" w:eastAsia="宋体"/>
                <w:sz w:val="16"/>
              </w:rPr>
              <w:t xml:space="preserve">单位基本职能：承担全市供销社系统的改革、发展、协调、稳定、管理、监督等工作任务，制定全区供销社的发展战略、发展目标和规划，指导全区供销社建立、发展和完善农业社会服务体系，促进城乡物资交流，加快和推进农村现代化流通服务体系建设。 </w:t>
            </w:r>
            <w:r>
              <w:rPr>
                <w:rFonts w:ascii="宋体" w:hAnsi="宋体" w:eastAsia="宋体"/>
                <w:sz w:val="16"/>
              </w:rPr>
              <w:br w:type="textWrapping"/>
            </w:r>
            <w:r>
              <w:rPr>
                <w:rFonts w:ascii="宋体" w:hAnsi="宋体" w:eastAsia="宋体"/>
                <w:sz w:val="16"/>
              </w:rPr>
              <w:t xml:space="preserve">机构设置及人员配置：无下属预算单位，下设4个科室，编制数7，实有人数11人，在职7人，退休4人。 </w:t>
            </w:r>
            <w:r>
              <w:rPr>
                <w:rFonts w:ascii="宋体" w:hAnsi="宋体" w:eastAsia="宋体"/>
                <w:sz w:val="16"/>
              </w:rPr>
              <w:br w:type="textWrapping"/>
            </w:r>
            <w:r>
              <w:rPr>
                <w:rFonts w:ascii="宋体" w:hAnsi="宋体" w:eastAsia="宋体"/>
                <w:sz w:val="16"/>
              </w:rPr>
              <w:t>中长期规划：1</w:t>
            </w:r>
            <w:r>
              <w:rPr>
                <w:rFonts w:hint="eastAsia" w:ascii="宋体" w:hAnsi="宋体"/>
                <w:sz w:val="16"/>
                <w:lang w:eastAsia="zh-CN"/>
              </w:rPr>
              <w:t>.</w:t>
            </w:r>
            <w:r>
              <w:rPr>
                <w:rFonts w:ascii="宋体" w:hAnsi="宋体" w:eastAsia="宋体"/>
                <w:sz w:val="16"/>
              </w:rPr>
              <w:t>强化基层组织建设，加大基层社建设。2.是多举措改造升级基层社。3</w:t>
            </w:r>
            <w:r>
              <w:rPr>
                <w:rFonts w:hint="eastAsia" w:ascii="宋体" w:hAnsi="宋体"/>
                <w:sz w:val="16"/>
                <w:lang w:eastAsia="zh-CN"/>
              </w:rPr>
              <w:t>.</w:t>
            </w:r>
            <w:r>
              <w:rPr>
                <w:rFonts w:ascii="宋体" w:hAnsi="宋体" w:eastAsia="宋体"/>
                <w:sz w:val="16"/>
              </w:rPr>
              <w:t>培育壮大基层标杆社。4</w:t>
            </w:r>
            <w:r>
              <w:rPr>
                <w:rFonts w:hint="eastAsia" w:ascii="宋体" w:hAnsi="宋体"/>
                <w:sz w:val="16"/>
                <w:lang w:eastAsia="zh-CN"/>
              </w:rPr>
              <w:t>.</w:t>
            </w:r>
            <w:r>
              <w:rPr>
                <w:rFonts w:ascii="宋体" w:hAnsi="宋体" w:eastAsia="宋体"/>
                <w:sz w:val="16"/>
              </w:rPr>
              <w:t>大力开展示范社建设。5</w:t>
            </w:r>
            <w:r>
              <w:rPr>
                <w:rFonts w:hint="eastAsia" w:ascii="宋体" w:hAnsi="宋体"/>
                <w:sz w:val="16"/>
                <w:lang w:eastAsia="zh-CN"/>
              </w:rPr>
              <w:t>.</w:t>
            </w:r>
            <w:r>
              <w:rPr>
                <w:rFonts w:ascii="宋体" w:hAnsi="宋体" w:eastAsia="宋体"/>
                <w:sz w:val="16"/>
              </w:rPr>
              <w:t xml:space="preserve">进一步推进农民专业合作社发展。 </w:t>
            </w:r>
            <w:r>
              <w:rPr>
                <w:rFonts w:ascii="宋体" w:hAnsi="宋体" w:eastAsia="宋体"/>
                <w:sz w:val="16"/>
              </w:rPr>
              <w:br w:type="textWrapping"/>
            </w:r>
            <w:r>
              <w:rPr>
                <w:rFonts w:ascii="宋体" w:hAnsi="宋体" w:eastAsia="宋体"/>
                <w:sz w:val="16"/>
              </w:rPr>
              <w:t xml:space="preserve">   保障部门在职6人，退休4人的各项工资福利补助正常发放及部门正常运转，保证单位工作正常运行，确保安全生产检查工作顺利实施。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B0356E">
            <w:pPr>
              <w:jc w:val="both"/>
            </w:pPr>
            <w:r>
              <w:rPr>
                <w:rFonts w:ascii="宋体" w:hAnsi="宋体" w:eastAsia="宋体"/>
                <w:sz w:val="16"/>
              </w:rPr>
              <w:t>本单位共计支出147.56万元，用于保障部门在职6人，退休4人的工资福利、各项补助正常发放及部门单位正常运转，单位预算项目根据年初计划均已完成，保证单位工作正常运行，确保安全生产检查工作顺利实施，年度任务中完成建立农服务中心7个，成立为农服务站点23个，完成社会化无人机植保服务10000亩，成立农资联盟7家等目标。</w:t>
            </w:r>
          </w:p>
        </w:tc>
      </w:tr>
      <w:tr w14:paraId="1B7E9B1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61CDE">
            <w:pPr>
              <w:jc w:val="center"/>
            </w:pPr>
            <w:r>
              <w:rPr>
                <w:rFonts w:ascii="宋体" w:hAnsi="宋体" w:eastAsia="宋体"/>
                <w:sz w:val="16"/>
              </w:rPr>
              <w:t>一级指标</w:t>
            </w:r>
          </w:p>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37B76CAF">
            <w:pPr>
              <w:jc w:val="center"/>
            </w:pPr>
            <w:r>
              <w:rPr>
                <w:rFonts w:ascii="宋体" w:hAnsi="宋体" w:eastAsia="宋体"/>
                <w:sz w:val="16"/>
              </w:rPr>
              <w:t>二级指标</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36A2DEEC">
            <w:pPr>
              <w:jc w:val="center"/>
            </w:pPr>
            <w:r>
              <w:rPr>
                <w:rFonts w:ascii="宋体" w:hAnsi="宋体" w:eastAsia="宋体"/>
                <w:sz w:val="16"/>
              </w:rPr>
              <w:t>三级指标</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67DDCFB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1F94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BB76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18A5A">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184B0">
            <w:pPr>
              <w:jc w:val="center"/>
            </w:pPr>
            <w:r>
              <w:rPr>
                <w:rFonts w:ascii="宋体" w:hAnsi="宋体" w:eastAsia="宋体"/>
                <w:sz w:val="16"/>
              </w:rPr>
              <w:t>得分</w:t>
            </w:r>
          </w:p>
        </w:tc>
      </w:tr>
      <w:tr w14:paraId="0E265A2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C1688">
            <w:pPr>
              <w:jc w:val="center"/>
            </w:pPr>
            <w:r>
              <w:rPr>
                <w:rFonts w:ascii="宋体" w:hAnsi="宋体" w:eastAsia="宋体"/>
                <w:sz w:val="16"/>
              </w:rPr>
              <w:t>履职效能</w:t>
            </w:r>
          </w:p>
        </w:tc>
        <w:tc>
          <w:tcPr>
            <w:tcW w:w="9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5AC31">
            <w:pPr>
              <w:jc w:val="center"/>
            </w:pPr>
            <w:r>
              <w:rPr>
                <w:rFonts w:ascii="宋体" w:hAnsi="宋体" w:eastAsia="宋体"/>
                <w:sz w:val="16"/>
              </w:rPr>
              <w:t>数量指标</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7BC259D4">
            <w:pPr>
              <w:jc w:val="center"/>
            </w:pPr>
            <w:r>
              <w:rPr>
                <w:rFonts w:ascii="宋体" w:hAnsi="宋体" w:eastAsia="宋体"/>
                <w:sz w:val="16"/>
              </w:rPr>
              <w:t>建立农服务中心</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2C50BBFA">
            <w:pPr>
              <w:jc w:val="center"/>
            </w:pPr>
            <w:r>
              <w:rPr>
                <w:rFonts w:ascii="宋体" w:hAnsi="宋体" w:eastAsia="宋体"/>
                <w:sz w:val="16"/>
              </w:rPr>
              <w: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F281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3CDB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6701D">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AF7AE">
            <w:pPr>
              <w:jc w:val="center"/>
            </w:pPr>
            <w:r>
              <w:rPr>
                <w:rFonts w:ascii="宋体" w:hAnsi="宋体" w:eastAsia="宋体"/>
                <w:sz w:val="16"/>
              </w:rPr>
              <w:t>18</w:t>
            </w:r>
          </w:p>
        </w:tc>
      </w:tr>
      <w:tr w14:paraId="637DD0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EF626A"/>
        </w:tc>
        <w:tc>
          <w:tcPr>
            <w:tcW w:w="926" w:type="dxa"/>
            <w:vMerge w:val="continue"/>
            <w:tcBorders>
              <w:top w:val="single" w:color="auto" w:sz="10" w:space="0"/>
              <w:left w:val="single" w:color="auto" w:sz="10" w:space="0"/>
              <w:bottom w:val="single" w:color="auto" w:sz="10" w:space="0"/>
              <w:right w:val="single" w:color="auto" w:sz="10" w:space="0"/>
              <w:insideV w:val="single" w:sz="10" w:space="0"/>
            </w:tcBorders>
          </w:tcPr>
          <w:p w14:paraId="49CEDE1A"/>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0AA43379">
            <w:pPr>
              <w:jc w:val="center"/>
            </w:pPr>
            <w:r>
              <w:rPr>
                <w:rFonts w:ascii="宋体" w:hAnsi="宋体" w:eastAsia="宋体"/>
                <w:sz w:val="16"/>
              </w:rPr>
              <w:t>成立为农服务站点</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74845EC6">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6046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2A33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761F7">
            <w:pPr>
              <w:jc w:val="center"/>
            </w:pPr>
            <w:r>
              <w:rPr>
                <w:rFonts w:ascii="宋体" w:hAnsi="宋体" w:eastAsia="宋体"/>
                <w:sz w:val="16"/>
              </w:rPr>
              <w:t>23个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2AB5F">
            <w:pPr>
              <w:jc w:val="center"/>
            </w:pPr>
            <w:r>
              <w:rPr>
                <w:rFonts w:ascii="宋体" w:hAnsi="宋体" w:eastAsia="宋体"/>
                <w:sz w:val="16"/>
              </w:rPr>
              <w:t>18</w:t>
            </w:r>
          </w:p>
        </w:tc>
      </w:tr>
      <w:tr w14:paraId="074621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5D53B7"/>
        </w:tc>
        <w:tc>
          <w:tcPr>
            <w:tcW w:w="926" w:type="dxa"/>
            <w:vMerge w:val="continue"/>
            <w:tcBorders>
              <w:top w:val="single" w:color="auto" w:sz="10" w:space="0"/>
              <w:left w:val="single" w:color="auto" w:sz="10" w:space="0"/>
              <w:bottom w:val="single" w:color="auto" w:sz="10" w:space="0"/>
              <w:right w:val="single" w:color="auto" w:sz="10" w:space="0"/>
              <w:insideV w:val="single" w:sz="10" w:space="0"/>
            </w:tcBorders>
          </w:tcPr>
          <w:p w14:paraId="12FC8DF1"/>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43F1A956">
            <w:pPr>
              <w:jc w:val="center"/>
            </w:pPr>
            <w:r>
              <w:rPr>
                <w:rFonts w:ascii="宋体" w:hAnsi="宋体" w:eastAsia="宋体"/>
                <w:sz w:val="16"/>
              </w:rPr>
              <w:t>完成社会化无人机植保服务</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254C5975">
            <w:pPr>
              <w:jc w:val="center"/>
            </w:pPr>
            <w:r>
              <w:rPr>
                <w:rFonts w:ascii="宋体" w:hAnsi="宋体" w:eastAsia="宋体"/>
                <w:sz w:val="16"/>
              </w:rPr>
              <w:t>&gt;=10000亩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9159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943BA">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8A2E9">
            <w:pPr>
              <w:jc w:val="center"/>
            </w:pPr>
            <w:r>
              <w:rPr>
                <w:rFonts w:ascii="宋体" w:hAnsi="宋体" w:eastAsia="宋体"/>
                <w:sz w:val="16"/>
              </w:rPr>
              <w:t>10000亩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451EB">
            <w:pPr>
              <w:jc w:val="center"/>
            </w:pPr>
            <w:r>
              <w:rPr>
                <w:rFonts w:ascii="宋体" w:hAnsi="宋体" w:eastAsia="宋体"/>
                <w:sz w:val="16"/>
              </w:rPr>
              <w:t>18</w:t>
            </w:r>
          </w:p>
        </w:tc>
      </w:tr>
      <w:tr w14:paraId="11D5C2A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A23E6D"/>
        </w:tc>
        <w:tc>
          <w:tcPr>
            <w:tcW w:w="926" w:type="dxa"/>
            <w:vMerge w:val="continue"/>
            <w:tcBorders>
              <w:top w:val="single" w:color="auto" w:sz="10" w:space="0"/>
              <w:left w:val="single" w:color="auto" w:sz="10" w:space="0"/>
              <w:bottom w:val="single" w:color="auto" w:sz="10" w:space="0"/>
              <w:right w:val="single" w:color="auto" w:sz="10" w:space="0"/>
              <w:insideV w:val="single" w:sz="10" w:space="0"/>
            </w:tcBorders>
          </w:tcPr>
          <w:p w14:paraId="72F6CD57"/>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5DAB2604">
            <w:pPr>
              <w:jc w:val="center"/>
            </w:pPr>
            <w:r>
              <w:rPr>
                <w:rFonts w:ascii="宋体" w:hAnsi="宋体" w:eastAsia="宋体"/>
                <w:sz w:val="16"/>
              </w:rPr>
              <w:t>成立农资联盟</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4FB540A4">
            <w:pPr>
              <w:jc w:val="center"/>
            </w:pPr>
            <w:r>
              <w:rPr>
                <w:rFonts w:ascii="宋体" w:hAnsi="宋体" w:eastAsia="宋体"/>
                <w:sz w:val="16"/>
              </w:rPr>
              <w:t>&gt;=7家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283A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D68C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85F9C">
            <w:pPr>
              <w:jc w:val="center"/>
            </w:pPr>
            <w:r>
              <w:rPr>
                <w:rFonts w:ascii="宋体" w:hAnsi="宋体" w:eastAsia="宋体"/>
                <w:sz w:val="16"/>
              </w:rPr>
              <w: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E5ECD">
            <w:pPr>
              <w:jc w:val="center"/>
            </w:pPr>
            <w:r>
              <w:rPr>
                <w:rFonts w:ascii="宋体" w:hAnsi="宋体" w:eastAsia="宋体"/>
                <w:sz w:val="16"/>
              </w:rPr>
              <w:t>18</w:t>
            </w:r>
          </w:p>
        </w:tc>
      </w:tr>
      <w:tr w14:paraId="54DAC5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0F6268"/>
        </w:tc>
        <w:tc>
          <w:tcPr>
            <w:tcW w:w="926" w:type="dxa"/>
            <w:tcBorders>
              <w:top w:val="single" w:color="auto" w:sz="10" w:space="0"/>
              <w:left w:val="single" w:color="auto" w:sz="10" w:space="0"/>
              <w:bottom w:val="single" w:color="auto" w:sz="10" w:space="0"/>
              <w:right w:val="single" w:color="auto" w:sz="10" w:space="0"/>
              <w:insideV w:val="single" w:sz="10" w:space="0"/>
            </w:tcBorders>
            <w:vAlign w:val="center"/>
          </w:tcPr>
          <w:p w14:paraId="1A27861F">
            <w:pPr>
              <w:jc w:val="center"/>
            </w:pPr>
            <w:r>
              <w:rPr>
                <w:rFonts w:ascii="宋体" w:hAnsi="宋体" w:eastAsia="宋体"/>
                <w:sz w:val="16"/>
              </w:rPr>
              <w:t>质量指标</w:t>
            </w:r>
          </w:p>
        </w:tc>
        <w:tc>
          <w:tcPr>
            <w:tcW w:w="1443" w:type="dxa"/>
            <w:tcBorders>
              <w:top w:val="single" w:color="auto" w:sz="10" w:space="0"/>
              <w:left w:val="single" w:color="auto" w:sz="10" w:space="0"/>
              <w:bottom w:val="single" w:color="auto" w:sz="10" w:space="0"/>
              <w:right w:val="single" w:color="auto" w:sz="10" w:space="0"/>
              <w:insideV w:val="single" w:sz="10" w:space="0"/>
            </w:tcBorders>
            <w:vAlign w:val="center"/>
          </w:tcPr>
          <w:p w14:paraId="13A02977">
            <w:pPr>
              <w:jc w:val="center"/>
            </w:pPr>
            <w:r>
              <w:rPr>
                <w:rFonts w:ascii="宋体" w:hAnsi="宋体" w:eastAsia="宋体"/>
                <w:sz w:val="16"/>
              </w:rPr>
              <w:t>推进农村现代化流通服务体系建设工作覆盖率</w:t>
            </w:r>
          </w:p>
        </w:tc>
        <w:tc>
          <w:tcPr>
            <w:tcW w:w="946" w:type="dxa"/>
            <w:tcBorders>
              <w:top w:val="single" w:color="auto" w:sz="10" w:space="0"/>
              <w:left w:val="single" w:color="auto" w:sz="10" w:space="0"/>
              <w:bottom w:val="single" w:color="auto" w:sz="10" w:space="0"/>
              <w:right w:val="single" w:color="auto" w:sz="10" w:space="0"/>
              <w:insideV w:val="single" w:sz="10" w:space="0"/>
            </w:tcBorders>
            <w:vAlign w:val="center"/>
          </w:tcPr>
          <w:p w14:paraId="419AA95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7E93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CF41E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81F9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AE26F">
            <w:pPr>
              <w:jc w:val="center"/>
            </w:pPr>
            <w:r>
              <w:rPr>
                <w:rFonts w:ascii="宋体" w:hAnsi="宋体" w:eastAsia="宋体"/>
                <w:sz w:val="16"/>
              </w:rPr>
              <w:t>18</w:t>
            </w:r>
          </w:p>
        </w:tc>
      </w:tr>
    </w:tbl>
    <w:p w14:paraId="18010A8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6AC2B784">
        <w:tblPrEx>
          <w:tblCellMar>
            <w:top w:w="0" w:type="dxa"/>
            <w:left w:w="108" w:type="dxa"/>
            <w:bottom w:w="0" w:type="dxa"/>
            <w:right w:w="108" w:type="dxa"/>
          </w:tblCellMar>
        </w:tblPrEx>
        <w:tc>
          <w:tcPr>
            <w:tcW w:w="8848" w:type="dxa"/>
            <w:gridSpan w:val="14"/>
            <w:vAlign w:val="center"/>
          </w:tcPr>
          <w:p w14:paraId="4260DFDD">
            <w:pPr>
              <w:jc w:val="center"/>
            </w:pPr>
            <w:r>
              <w:rPr>
                <w:rFonts w:ascii="宋体" w:hAnsi="宋体" w:eastAsia="宋体"/>
                <w:sz w:val="24"/>
              </w:rPr>
              <w:t>项目支出绩效自评表</w:t>
            </w:r>
          </w:p>
        </w:tc>
      </w:tr>
      <w:tr w14:paraId="09E7DC79">
        <w:tblPrEx>
          <w:tblCellMar>
            <w:top w:w="0" w:type="dxa"/>
            <w:left w:w="108" w:type="dxa"/>
            <w:bottom w:w="0" w:type="dxa"/>
            <w:right w:w="108" w:type="dxa"/>
          </w:tblCellMar>
        </w:tblPrEx>
        <w:tc>
          <w:tcPr>
            <w:tcW w:w="8848" w:type="dxa"/>
            <w:gridSpan w:val="14"/>
            <w:vAlign w:val="center"/>
          </w:tcPr>
          <w:p w14:paraId="2507BEF4">
            <w:pPr>
              <w:jc w:val="center"/>
            </w:pPr>
            <w:r>
              <w:rPr>
                <w:rFonts w:ascii="宋体" w:hAnsi="宋体" w:eastAsia="宋体"/>
                <w:sz w:val="24"/>
              </w:rPr>
              <w:t>(2024年度)</w:t>
            </w:r>
          </w:p>
        </w:tc>
      </w:tr>
      <w:tr w14:paraId="2B1572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61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22B312">
            <w:pPr>
              <w:jc w:val="center"/>
            </w:pPr>
            <w:r>
              <w:rPr>
                <w:rFonts w:ascii="宋体" w:hAnsi="宋体" w:eastAsia="宋体"/>
                <w:sz w:val="16"/>
              </w:rPr>
              <w:t>2024年办公经费及业务活动费项目</w:t>
            </w:r>
          </w:p>
        </w:tc>
      </w:tr>
      <w:tr w14:paraId="2EEC1B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5A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87377">
            <w:pPr>
              <w:jc w:val="center"/>
            </w:pPr>
            <w:r>
              <w:rPr>
                <w:rFonts w:ascii="宋体" w:hAnsi="宋体" w:eastAsia="宋体"/>
                <w:sz w:val="16"/>
              </w:rPr>
              <w:t>阿图什市供销合作社联合社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FC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8D3C5F">
            <w:pPr>
              <w:jc w:val="center"/>
            </w:pPr>
            <w:r>
              <w:rPr>
                <w:rFonts w:ascii="宋体" w:hAnsi="宋体" w:eastAsia="宋体"/>
                <w:sz w:val="16"/>
              </w:rPr>
              <w:t>阿图什市供销合作社联合社</w:t>
            </w:r>
          </w:p>
        </w:tc>
      </w:tr>
      <w:tr w14:paraId="4EE7AA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8C2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0B4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D81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09F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849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E03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B5D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7019">
            <w:pPr>
              <w:jc w:val="center"/>
            </w:pPr>
            <w:r>
              <w:rPr>
                <w:rFonts w:ascii="宋体" w:hAnsi="宋体" w:eastAsia="宋体"/>
                <w:sz w:val="16"/>
              </w:rPr>
              <w:t>得分</w:t>
            </w:r>
          </w:p>
        </w:tc>
      </w:tr>
      <w:tr w14:paraId="00CF2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50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54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633A4">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84755">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A2ACA">
            <w:pPr>
              <w:jc w:val="center"/>
            </w:pPr>
            <w:r>
              <w:rPr>
                <w:rFonts w:ascii="宋体" w:hAnsi="宋体" w:eastAsia="宋体"/>
                <w:sz w:val="16"/>
              </w:rPr>
              <w:t>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C25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2D320">
            <w:pPr>
              <w:jc w:val="center"/>
            </w:pPr>
            <w:r>
              <w:rPr>
                <w:rFonts w:ascii="宋体" w:hAnsi="宋体" w:eastAsia="宋体"/>
                <w:sz w:val="16"/>
              </w:rPr>
              <w:t>27.1%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7295">
            <w:pPr>
              <w:jc w:val="center"/>
            </w:pPr>
            <w:r>
              <w:rPr>
                <w:rFonts w:ascii="宋体" w:hAnsi="宋体" w:eastAsia="宋体"/>
                <w:sz w:val="16"/>
              </w:rPr>
              <w:t>0.00分</w:t>
            </w:r>
          </w:p>
        </w:tc>
      </w:tr>
      <w:tr w14:paraId="4D475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3D3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779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CE90C">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EC85E">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5A7B7">
            <w:pPr>
              <w:jc w:val="center"/>
            </w:pPr>
            <w:r>
              <w:rPr>
                <w:rFonts w:ascii="宋体" w:hAnsi="宋体" w:eastAsia="宋体"/>
                <w:sz w:val="16"/>
              </w:rPr>
              <w:t>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94B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C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F336">
            <w:pPr>
              <w:jc w:val="center"/>
            </w:pPr>
            <w:r>
              <w:rPr>
                <w:rFonts w:ascii="宋体" w:hAnsi="宋体" w:eastAsia="宋体"/>
                <w:sz w:val="16"/>
              </w:rPr>
              <w:t>—</w:t>
            </w:r>
          </w:p>
        </w:tc>
      </w:tr>
      <w:tr w14:paraId="5D6ED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28F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3B5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5FD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BD2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07F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A05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5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D811">
            <w:pPr>
              <w:jc w:val="center"/>
            </w:pPr>
            <w:r>
              <w:rPr>
                <w:rFonts w:ascii="宋体" w:hAnsi="宋体" w:eastAsia="宋体"/>
                <w:sz w:val="16"/>
              </w:rPr>
              <w:t>—</w:t>
            </w:r>
          </w:p>
        </w:tc>
      </w:tr>
      <w:tr w14:paraId="3CBC8E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222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99FD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0F31C8">
            <w:pPr>
              <w:jc w:val="center"/>
            </w:pPr>
            <w:r>
              <w:rPr>
                <w:rFonts w:ascii="宋体" w:hAnsi="宋体" w:eastAsia="宋体"/>
                <w:sz w:val="16"/>
              </w:rPr>
              <w:t>实际完成情况</w:t>
            </w:r>
          </w:p>
        </w:tc>
      </w:tr>
      <w:tr w14:paraId="6BFFD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B01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6DD76">
            <w:pPr>
              <w:jc w:val="both"/>
            </w:pPr>
            <w:r>
              <w:rPr>
                <w:rFonts w:ascii="宋体" w:hAnsi="宋体" w:eastAsia="宋体"/>
                <w:sz w:val="16"/>
              </w:rPr>
              <w:t>本项目总投资7.5万元，用于采购其他办公用品10批次2600元/批、采购电脑耗材10批次500元/批、采购广告宣传服务10批次2400元/批、采购其他农副食品5批次2000元/批，对单位办公设备进行维修维护10次1000元/次，共计7.5万元。保证单位工作正常运行，提高工作人员办公效率，完善组织配套设施设备，不断提高服务群众的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30EDEE">
            <w:pPr>
              <w:jc w:val="both"/>
            </w:pPr>
            <w:r>
              <w:rPr>
                <w:rFonts w:ascii="宋体" w:hAnsi="宋体" w:eastAsia="宋体"/>
                <w:sz w:val="16"/>
              </w:rPr>
              <w:t>本项目共计支出2.0287万元，用于采购办公用品及设备数量10批，采购广告宣传服务10批，采购其他农副食品5批；通过实施本项目保证单位工作正常运行，提高工作人员办公效率，完善组织配套设施设备，不断提高服务群众的能力。</w:t>
            </w:r>
          </w:p>
        </w:tc>
      </w:tr>
      <w:tr w14:paraId="61799B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005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97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32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4F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7A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E7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52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14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2C47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FA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37D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9C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4DC81">
            <w:pPr>
              <w:jc w:val="center"/>
            </w:pPr>
            <w:r>
              <w:rPr>
                <w:rFonts w:ascii="宋体" w:hAnsi="宋体" w:eastAsia="宋体"/>
                <w:sz w:val="16"/>
              </w:rPr>
              <w:t>偏差原因分析及改进措施</w:t>
            </w:r>
          </w:p>
        </w:tc>
      </w:tr>
      <w:tr w14:paraId="019BB4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E0E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77C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327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2827">
            <w:pPr>
              <w:jc w:val="center"/>
            </w:pPr>
            <w:r>
              <w:rPr>
                <w:rFonts w:ascii="宋体" w:hAnsi="宋体" w:eastAsia="宋体"/>
                <w:sz w:val="16"/>
              </w:rPr>
              <w:t>采购办公用品及设备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A7A7">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8D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56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B6A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95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26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3966">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A11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6F2F">
            <w:pPr>
              <w:jc w:val="center"/>
            </w:pPr>
          </w:p>
        </w:tc>
      </w:tr>
      <w:tr w14:paraId="09396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D9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C9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06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E174">
            <w:pPr>
              <w:jc w:val="center"/>
            </w:pPr>
            <w:r>
              <w:rPr>
                <w:rFonts w:ascii="宋体" w:hAnsi="宋体" w:eastAsia="宋体"/>
                <w:sz w:val="16"/>
              </w:rPr>
              <w:t>采购广告宣传服务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BFA1">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DC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2C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B7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78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CF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8BF0">
            <w:pPr>
              <w:jc w:val="center"/>
            </w:pPr>
            <w:r>
              <w:rPr>
                <w:rFonts w:ascii="宋体" w:hAnsi="宋体" w:eastAsia="宋体"/>
                <w:sz w:val="16"/>
              </w:rPr>
              <w: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FF5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F7114">
            <w:pPr>
              <w:jc w:val="center"/>
            </w:pPr>
          </w:p>
        </w:tc>
      </w:tr>
      <w:tr w14:paraId="19C57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FD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AD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8E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3913">
            <w:pPr>
              <w:jc w:val="center"/>
            </w:pPr>
            <w:r>
              <w:rPr>
                <w:rFonts w:ascii="宋体" w:hAnsi="宋体" w:eastAsia="宋体"/>
                <w:sz w:val="16"/>
              </w:rPr>
              <w:t>采购其他农副食品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1A6D">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E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3F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5B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9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ED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47DC">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07D6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E51B">
            <w:pPr>
              <w:jc w:val="center"/>
            </w:pPr>
          </w:p>
        </w:tc>
      </w:tr>
      <w:tr w14:paraId="7EC74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E9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B1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AC9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F797">
            <w:pPr>
              <w:jc w:val="center"/>
            </w:pPr>
            <w:r>
              <w:rPr>
                <w:rFonts w:ascii="宋体" w:hAnsi="宋体" w:eastAsia="宋体"/>
                <w:sz w:val="16"/>
              </w:rPr>
              <w:t>单位办公设备进行维修维护次数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40F4">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B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A4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48C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1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40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1F3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843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0D975">
            <w:pPr>
              <w:jc w:val="center"/>
            </w:pPr>
            <w:r>
              <w:rPr>
                <w:rFonts w:ascii="宋体" w:hAnsi="宋体" w:eastAsia="宋体"/>
                <w:sz w:val="16"/>
              </w:rPr>
              <w:t>原因：本年度办公设备未产生故障，因此该指标未完成；措施：下一年度做好计划及项目管理，减少实施过程中的偏差。</w:t>
            </w:r>
          </w:p>
        </w:tc>
      </w:tr>
      <w:tr w14:paraId="25E5F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EB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DD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51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F87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69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A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58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11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A4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D1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8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09F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6D8A9">
            <w:pPr>
              <w:jc w:val="center"/>
            </w:pPr>
          </w:p>
        </w:tc>
      </w:tr>
      <w:tr w14:paraId="5D596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3B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FF9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D7C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B8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811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7D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61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71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72C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795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7E0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78C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E0B74">
            <w:pPr>
              <w:jc w:val="center"/>
            </w:pPr>
          </w:p>
        </w:tc>
      </w:tr>
      <w:tr w14:paraId="1C9A7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951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B66F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01B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6001">
            <w:pPr>
              <w:jc w:val="center"/>
            </w:pPr>
            <w:r>
              <w:rPr>
                <w:rFonts w:ascii="宋体" w:hAnsi="宋体" w:eastAsia="宋体"/>
                <w:sz w:val="16"/>
              </w:rPr>
              <w:t>采购办公用品及设备成本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0286">
            <w:pPr>
              <w:jc w:val="center"/>
            </w:pPr>
            <w:r>
              <w:rPr>
                <w:rFonts w:ascii="宋体" w:hAnsi="宋体" w:eastAsia="宋体"/>
                <w:sz w:val="16"/>
              </w:rPr>
              <w:t>&lt;=3.10万元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3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6F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58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A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290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1FD1">
            <w:pPr>
              <w:jc w:val="center"/>
            </w:pPr>
            <w:r>
              <w:rPr>
                <w:rFonts w:ascii="宋体" w:hAnsi="宋体" w:eastAsia="宋体"/>
                <w:sz w:val="16"/>
              </w:rPr>
              <w:t>=2.0287万元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EBFD">
            <w:pPr>
              <w:jc w:val="center"/>
            </w:pPr>
            <w:r>
              <w:rPr>
                <w:rFonts w:ascii="宋体" w:hAnsi="宋体" w:eastAsia="宋体"/>
                <w:sz w:val="16"/>
              </w:rPr>
              <w:t>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60FDF">
            <w:pPr>
              <w:jc w:val="center"/>
            </w:pPr>
            <w:r>
              <w:rPr>
                <w:rFonts w:ascii="宋体" w:hAnsi="宋体" w:eastAsia="宋体"/>
                <w:sz w:val="16"/>
              </w:rPr>
              <w:t>原因：第三方机构未及时提供支出资料，未能按时支出；措施：及时催收支出资料，加快项目支出进度，减少偏差。</w:t>
            </w:r>
          </w:p>
        </w:tc>
      </w:tr>
      <w:tr w14:paraId="5DA6E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8EF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0F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574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178E">
            <w:pPr>
              <w:jc w:val="center"/>
            </w:pPr>
            <w:r>
              <w:rPr>
                <w:rFonts w:ascii="宋体" w:hAnsi="宋体" w:eastAsia="宋体"/>
                <w:sz w:val="16"/>
              </w:rPr>
              <w:t>采购广告宣传服务费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1E7B">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3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98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43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2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1AF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D92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6C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03237">
            <w:pPr>
              <w:jc w:val="center"/>
            </w:pPr>
            <w:r>
              <w:rPr>
                <w:rFonts w:ascii="宋体" w:hAnsi="宋体" w:eastAsia="宋体"/>
                <w:sz w:val="16"/>
              </w:rPr>
              <w:t>原因：第三方机构未及时提供支出资料，未能按时支出；措施：及时催收支出资料，加快项目支出进度，减少偏差。</w:t>
            </w:r>
          </w:p>
        </w:tc>
      </w:tr>
      <w:tr w14:paraId="706C8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78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94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43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1D98">
            <w:pPr>
              <w:jc w:val="center"/>
            </w:pPr>
            <w:r>
              <w:rPr>
                <w:rFonts w:ascii="宋体" w:hAnsi="宋体" w:eastAsia="宋体"/>
                <w:sz w:val="16"/>
              </w:rPr>
              <w:t>采购其他农副食品成本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679F">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4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AE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8A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7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01D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AF1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E4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CD650">
            <w:pPr>
              <w:jc w:val="center"/>
            </w:pPr>
            <w:r>
              <w:rPr>
                <w:rFonts w:ascii="宋体" w:hAnsi="宋体" w:eastAsia="宋体"/>
                <w:sz w:val="16"/>
              </w:rPr>
              <w:t>原因：第三方机构未及时提供支出资料，未能按时支出；措施：及时催收支出资料，加快项目支出进度，减少偏差。</w:t>
            </w:r>
          </w:p>
        </w:tc>
      </w:tr>
      <w:tr w14:paraId="283D2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48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23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8A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68B4">
            <w:pPr>
              <w:jc w:val="center"/>
            </w:pPr>
            <w:r>
              <w:rPr>
                <w:rFonts w:ascii="宋体" w:hAnsi="宋体" w:eastAsia="宋体"/>
                <w:sz w:val="16"/>
              </w:rPr>
              <w:t>单位办公设备进行维修维护成本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6B80">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A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79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F4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9C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653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68B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D2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60383">
            <w:pPr>
              <w:jc w:val="center"/>
            </w:pPr>
            <w:r>
              <w:rPr>
                <w:rFonts w:ascii="宋体" w:hAnsi="宋体" w:eastAsia="宋体"/>
                <w:sz w:val="16"/>
              </w:rPr>
              <w:t>原因：本年度办公设备未产生故障，因此该指标未完成；措施：下一年度做好计划及项目管理，减少实施过程中的偏差。</w:t>
            </w:r>
          </w:p>
        </w:tc>
      </w:tr>
      <w:tr w14:paraId="04C7F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FC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85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A4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713D">
            <w:pPr>
              <w:jc w:val="center"/>
            </w:pPr>
            <w:r>
              <w:rPr>
                <w:rFonts w:ascii="宋体" w:hAnsi="宋体" w:eastAsia="宋体"/>
                <w:sz w:val="16"/>
              </w:rPr>
              <w:t>提高工作人员办公效率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4A52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1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8D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39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6C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EA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6C7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27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71ABA">
            <w:pPr>
              <w:jc w:val="center"/>
            </w:pPr>
          </w:p>
        </w:tc>
      </w:tr>
      <w:tr w14:paraId="616D1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FD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D5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BA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3F44">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2E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20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C2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15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08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DB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0B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26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8748D">
            <w:pPr>
              <w:jc w:val="center"/>
            </w:pPr>
          </w:p>
        </w:tc>
      </w:tr>
      <w:tr w14:paraId="27F90F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F8E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37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DC3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74A5">
            <w:pPr>
              <w:jc w:val="center"/>
            </w:pPr>
            <w:r>
              <w:rPr>
                <w:rFonts w:ascii="宋体" w:hAnsi="宋体" w:eastAsia="宋体"/>
                <w:sz w:val="16"/>
              </w:rPr>
              <w:t>63.68分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8B3D3D"/>
        </w:tc>
      </w:tr>
    </w:tbl>
    <w:p w14:paraId="35FD28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9095FB3">
        <w:tblPrEx>
          <w:tblCellMar>
            <w:top w:w="0" w:type="dxa"/>
            <w:left w:w="108" w:type="dxa"/>
            <w:bottom w:w="0" w:type="dxa"/>
            <w:right w:w="108" w:type="dxa"/>
          </w:tblCellMar>
        </w:tblPrEx>
        <w:tc>
          <w:tcPr>
            <w:tcW w:w="8848" w:type="dxa"/>
            <w:gridSpan w:val="14"/>
            <w:vAlign w:val="center"/>
          </w:tcPr>
          <w:p w14:paraId="38CA7F54">
            <w:pPr>
              <w:jc w:val="center"/>
            </w:pPr>
            <w:r>
              <w:rPr>
                <w:rFonts w:ascii="宋体" w:hAnsi="宋体" w:eastAsia="宋体"/>
                <w:sz w:val="24"/>
              </w:rPr>
              <w:t>项目支出绩效自评表</w:t>
            </w:r>
          </w:p>
        </w:tc>
      </w:tr>
      <w:tr w14:paraId="207B9C56">
        <w:tblPrEx>
          <w:tblCellMar>
            <w:top w:w="0" w:type="dxa"/>
            <w:left w:w="108" w:type="dxa"/>
            <w:bottom w:w="0" w:type="dxa"/>
            <w:right w:w="108" w:type="dxa"/>
          </w:tblCellMar>
        </w:tblPrEx>
        <w:tc>
          <w:tcPr>
            <w:tcW w:w="8848" w:type="dxa"/>
            <w:gridSpan w:val="14"/>
            <w:vAlign w:val="center"/>
          </w:tcPr>
          <w:p w14:paraId="629D028A">
            <w:pPr>
              <w:jc w:val="center"/>
            </w:pPr>
            <w:r>
              <w:rPr>
                <w:rFonts w:ascii="宋体" w:hAnsi="宋体" w:eastAsia="宋体"/>
                <w:sz w:val="24"/>
              </w:rPr>
              <w:t>(2024年度)</w:t>
            </w:r>
          </w:p>
        </w:tc>
      </w:tr>
      <w:tr w14:paraId="05FCE0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98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025245">
            <w:pPr>
              <w:jc w:val="center"/>
            </w:pPr>
            <w:r>
              <w:rPr>
                <w:rFonts w:ascii="宋体" w:hAnsi="宋体" w:eastAsia="宋体"/>
                <w:sz w:val="16"/>
              </w:rPr>
              <w:t>2024年单位办公楼外墙保温材料更换项目</w:t>
            </w:r>
          </w:p>
        </w:tc>
      </w:tr>
      <w:tr w14:paraId="216AB8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99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98625">
            <w:pPr>
              <w:jc w:val="center"/>
            </w:pPr>
            <w:r>
              <w:rPr>
                <w:rFonts w:ascii="宋体" w:hAnsi="宋体" w:eastAsia="宋体"/>
                <w:sz w:val="16"/>
              </w:rPr>
              <w:t>阿图什市供销合作社联合社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47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582140">
            <w:pPr>
              <w:jc w:val="center"/>
            </w:pPr>
            <w:r>
              <w:rPr>
                <w:rFonts w:ascii="宋体" w:hAnsi="宋体" w:eastAsia="宋体"/>
                <w:sz w:val="16"/>
              </w:rPr>
              <w:t>阿图什市供销合作社联合社</w:t>
            </w:r>
          </w:p>
        </w:tc>
      </w:tr>
      <w:tr w14:paraId="5808B5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4F9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A0C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82A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8D6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63C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18E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25E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0672">
            <w:pPr>
              <w:jc w:val="center"/>
            </w:pPr>
            <w:r>
              <w:rPr>
                <w:rFonts w:ascii="宋体" w:hAnsi="宋体" w:eastAsia="宋体"/>
                <w:sz w:val="16"/>
              </w:rPr>
              <w:t>得分</w:t>
            </w:r>
          </w:p>
        </w:tc>
      </w:tr>
      <w:tr w14:paraId="47894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48D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5D3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ECA0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83D5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8C8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101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5A38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F9DC">
            <w:pPr>
              <w:jc w:val="center"/>
            </w:pPr>
            <w:r>
              <w:rPr>
                <w:rFonts w:ascii="宋体" w:hAnsi="宋体" w:eastAsia="宋体"/>
                <w:sz w:val="16"/>
              </w:rPr>
              <w:t>0.00分</w:t>
            </w:r>
          </w:p>
        </w:tc>
      </w:tr>
      <w:tr w14:paraId="44CB9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313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7FC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BA85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0D46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FE3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FCF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F84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5ABB">
            <w:pPr>
              <w:jc w:val="center"/>
            </w:pPr>
            <w:r>
              <w:rPr>
                <w:rFonts w:ascii="宋体" w:hAnsi="宋体" w:eastAsia="宋体"/>
                <w:sz w:val="16"/>
              </w:rPr>
              <w:t>—</w:t>
            </w:r>
          </w:p>
        </w:tc>
      </w:tr>
      <w:tr w14:paraId="5C4CC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3DB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2C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77F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728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0E2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AE7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F32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E936">
            <w:pPr>
              <w:jc w:val="center"/>
            </w:pPr>
            <w:r>
              <w:rPr>
                <w:rFonts w:ascii="宋体" w:hAnsi="宋体" w:eastAsia="宋体"/>
                <w:sz w:val="16"/>
              </w:rPr>
              <w:t>—</w:t>
            </w:r>
          </w:p>
        </w:tc>
      </w:tr>
      <w:tr w14:paraId="26482E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74F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E9C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FD902C">
            <w:pPr>
              <w:jc w:val="center"/>
            </w:pPr>
            <w:r>
              <w:rPr>
                <w:rFonts w:ascii="宋体" w:hAnsi="宋体" w:eastAsia="宋体"/>
                <w:sz w:val="16"/>
              </w:rPr>
              <w:t>实际完成情况</w:t>
            </w:r>
          </w:p>
        </w:tc>
      </w:tr>
      <w:tr w14:paraId="0367E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B07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7FEF9E">
            <w:pPr>
              <w:jc w:val="both"/>
            </w:pPr>
            <w:r>
              <w:rPr>
                <w:rFonts w:ascii="宋体" w:hAnsi="宋体" w:eastAsia="宋体"/>
                <w:sz w:val="16"/>
              </w:rPr>
              <w:t>根据阿图什市消防大队通知要求，</w:t>
            </w:r>
            <w:r>
              <w:rPr>
                <w:rFonts w:hint="eastAsia" w:ascii="宋体" w:hAnsi="宋体"/>
                <w:sz w:val="16"/>
                <w:lang w:eastAsia="zh-CN"/>
              </w:rPr>
              <w:t>本单位</w:t>
            </w:r>
            <w:r>
              <w:rPr>
                <w:rFonts w:ascii="宋体" w:hAnsi="宋体" w:eastAsia="宋体"/>
                <w:sz w:val="16"/>
              </w:rPr>
              <w:t>外墙保温材料不符合消防安全要求需更换外墙保温材料，项目资金30万元，其中：财政资金30万元，其他资金0万元。对单位办公设备进行维修维护。保证单位工作正常运行，提高工作人员办公效率，完善组织配套设施设备，不断提高服务群众的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A60FF9">
            <w:pPr>
              <w:jc w:val="both"/>
            </w:pPr>
            <w:r>
              <w:rPr>
                <w:rFonts w:ascii="宋体" w:hAnsi="宋体" w:eastAsia="宋体"/>
                <w:sz w:val="16"/>
              </w:rPr>
              <w:t>本项目已完成单位换外墙保温材料面积5000平方米，维修维护层数4层；通过实施本项目保证单位工作正常运行，提高工作人员办公效率，完善组织配套设施设备，不断提高服务群众的能力。</w:t>
            </w:r>
          </w:p>
        </w:tc>
      </w:tr>
      <w:tr w14:paraId="11183B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C73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20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66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DC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8C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F7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CF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CB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BF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B6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71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C5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1D3E4">
            <w:pPr>
              <w:jc w:val="center"/>
            </w:pPr>
            <w:r>
              <w:rPr>
                <w:rFonts w:ascii="宋体" w:hAnsi="宋体" w:eastAsia="宋体"/>
                <w:sz w:val="16"/>
              </w:rPr>
              <w:t>偏差原因分析及改进措施</w:t>
            </w:r>
          </w:p>
        </w:tc>
      </w:tr>
      <w:tr w14:paraId="1FE570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AA0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6D3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4BE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7F9D">
            <w:pPr>
              <w:jc w:val="center"/>
            </w:pPr>
            <w:r>
              <w:rPr>
                <w:rFonts w:ascii="宋体" w:hAnsi="宋体" w:eastAsia="宋体"/>
                <w:sz w:val="16"/>
              </w:rPr>
              <w:t>单位换外墙保温材料面积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4C9D">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3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E4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92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5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E3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AC0D">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C8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03EF">
            <w:pPr>
              <w:jc w:val="center"/>
            </w:pPr>
          </w:p>
        </w:tc>
      </w:tr>
      <w:tr w14:paraId="12173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D9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92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4E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FD45">
            <w:pPr>
              <w:jc w:val="center"/>
            </w:pPr>
            <w:r>
              <w:rPr>
                <w:rFonts w:ascii="宋体" w:hAnsi="宋体" w:eastAsia="宋体"/>
                <w:sz w:val="16"/>
              </w:rPr>
              <w:t>维护维修层数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DEE4">
            <w:pPr>
              <w:jc w:val="center"/>
            </w:pPr>
            <w:r>
              <w:rPr>
                <w:rFonts w:ascii="宋体" w:hAnsi="宋体" w:eastAsia="宋体"/>
                <w:sz w:val="16"/>
              </w:rPr>
              <w:t>=4层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4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73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E5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B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E5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4335">
            <w:pPr>
              <w:jc w:val="center"/>
            </w:pPr>
            <w:r>
              <w:rPr>
                <w:rFonts w:ascii="宋体" w:hAnsi="宋体" w:eastAsia="宋体"/>
                <w:sz w:val="16"/>
              </w:rPr>
              <w:t>=4层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13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44AB">
            <w:pPr>
              <w:jc w:val="center"/>
            </w:pPr>
          </w:p>
        </w:tc>
      </w:tr>
      <w:tr w14:paraId="06732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B5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F24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B8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A1454">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3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5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C9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2D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4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F6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25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F1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ED510">
            <w:pPr>
              <w:jc w:val="center"/>
            </w:pPr>
          </w:p>
        </w:tc>
      </w:tr>
      <w:tr w14:paraId="6B2BE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34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7E7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ECE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A6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4E1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DD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7A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F7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09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B7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3C8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A1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0034B">
            <w:pPr>
              <w:jc w:val="center"/>
            </w:pPr>
          </w:p>
        </w:tc>
      </w:tr>
      <w:tr w14:paraId="1E5E9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B2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CA7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F9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7A4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6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E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34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26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6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995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39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CA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6419D">
            <w:pPr>
              <w:jc w:val="center"/>
            </w:pPr>
            <w:r>
              <w:rPr>
                <w:rFonts w:ascii="宋体" w:hAnsi="宋体" w:eastAsia="宋体"/>
                <w:sz w:val="16"/>
              </w:rPr>
              <w:t>原因：第三方机构未及时提供支出资料，未能按时支出；措施：及时催收支出资料，加快项目支出进度，减少偏差。</w:t>
            </w:r>
          </w:p>
        </w:tc>
      </w:tr>
      <w:tr w14:paraId="0C21B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ED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4F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F7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D43D">
            <w:pPr>
              <w:jc w:val="center"/>
            </w:pPr>
            <w:r>
              <w:rPr>
                <w:rFonts w:ascii="宋体" w:hAnsi="宋体" w:eastAsia="宋体"/>
                <w:sz w:val="16"/>
              </w:rPr>
              <w:t>提高工作人员办公效率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B45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E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09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DE9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19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30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45D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03AD">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62426">
            <w:pPr>
              <w:jc w:val="center"/>
            </w:pPr>
          </w:p>
        </w:tc>
      </w:tr>
      <w:tr w14:paraId="15F61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788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79C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6E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FFF5">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53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6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9E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A1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EF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527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92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22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3151">
            <w:pPr>
              <w:jc w:val="center"/>
            </w:pPr>
          </w:p>
        </w:tc>
      </w:tr>
      <w:tr w14:paraId="0572F48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B723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7B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1D5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0AB5">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DCF6C1"/>
        </w:tc>
      </w:tr>
    </w:tbl>
    <w:p w14:paraId="0C3DD2FA">
      <w:r>
        <w:br w:type="page"/>
      </w:r>
    </w:p>
    <w:p w14:paraId="77C75D8C">
      <w:pPr>
        <w:spacing w:line="640" w:lineRule="exact"/>
        <w:ind w:firstLine="640"/>
        <w:jc w:val="both"/>
        <w:outlineLvl w:val="2"/>
      </w:pPr>
      <w:r>
        <w:rPr>
          <w:rFonts w:ascii="黑体" w:hAnsi="黑体" w:eastAsia="黑体"/>
          <w:sz w:val="32"/>
        </w:rPr>
        <w:t>十二、其他需说明的事项</w:t>
      </w:r>
    </w:p>
    <w:p w14:paraId="181023F8">
      <w:pPr>
        <w:spacing w:line="580" w:lineRule="exact"/>
        <w:ind w:firstLine="640"/>
        <w:jc w:val="both"/>
      </w:pPr>
      <w:r>
        <w:rPr>
          <w:rFonts w:ascii="仿宋_GB2312" w:hAnsi="仿宋_GB2312" w:eastAsia="仿宋_GB2312"/>
          <w:b w:val="0"/>
          <w:sz w:val="32"/>
        </w:rPr>
        <w:t>本单位无其他需说明的事项。</w:t>
      </w:r>
    </w:p>
    <w:p w14:paraId="33AB66E9">
      <w:r>
        <w:br w:type="page"/>
      </w:r>
    </w:p>
    <w:p w14:paraId="1EFAD4F1">
      <w:pPr>
        <w:spacing w:line="240" w:lineRule="auto"/>
        <w:jc w:val="center"/>
        <w:outlineLvl w:val="1"/>
      </w:pPr>
      <w:r>
        <w:rPr>
          <w:rFonts w:ascii="黑体" w:hAnsi="黑体" w:eastAsia="黑体"/>
          <w:sz w:val="32"/>
        </w:rPr>
        <w:t>第三部分 专业名词解释</w:t>
      </w:r>
    </w:p>
    <w:p w14:paraId="099972C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75AC1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5D66F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966721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269A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EA0BF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47A48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219B31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2641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7ABAB4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098AE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C369D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93E9B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F2346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4F7E5D">
      <w:r>
        <w:br w:type="page"/>
      </w:r>
    </w:p>
    <w:p w14:paraId="4614D7D4">
      <w:pPr>
        <w:spacing w:line="240" w:lineRule="auto"/>
        <w:jc w:val="center"/>
        <w:outlineLvl w:val="1"/>
      </w:pPr>
      <w:r>
        <w:rPr>
          <w:rFonts w:ascii="黑体" w:hAnsi="黑体" w:eastAsia="黑体"/>
          <w:sz w:val="32"/>
        </w:rPr>
        <w:t>第四部分 部门决算报表（见附表）</w:t>
      </w:r>
    </w:p>
    <w:p w14:paraId="703BE60E">
      <w:pPr>
        <w:spacing w:line="240" w:lineRule="auto"/>
        <w:ind w:firstLine="640"/>
        <w:jc w:val="both"/>
      </w:pPr>
      <w:r>
        <w:rPr>
          <w:rFonts w:ascii="仿宋_GB2312" w:hAnsi="仿宋_GB2312" w:eastAsia="仿宋_GB2312"/>
          <w:b w:val="0"/>
          <w:sz w:val="32"/>
        </w:rPr>
        <w:t>一、《收入支出决算总表》</w:t>
      </w:r>
    </w:p>
    <w:p w14:paraId="26916247">
      <w:pPr>
        <w:spacing w:line="240" w:lineRule="auto"/>
        <w:ind w:firstLine="640"/>
        <w:jc w:val="both"/>
      </w:pPr>
      <w:r>
        <w:rPr>
          <w:rFonts w:ascii="仿宋_GB2312" w:hAnsi="仿宋_GB2312" w:eastAsia="仿宋_GB2312"/>
          <w:b w:val="0"/>
          <w:sz w:val="32"/>
        </w:rPr>
        <w:t>二、《收入决算表》</w:t>
      </w:r>
    </w:p>
    <w:p w14:paraId="3758388A">
      <w:pPr>
        <w:spacing w:line="240" w:lineRule="auto"/>
        <w:ind w:firstLine="640"/>
        <w:jc w:val="both"/>
      </w:pPr>
      <w:r>
        <w:rPr>
          <w:rFonts w:ascii="仿宋_GB2312" w:hAnsi="仿宋_GB2312" w:eastAsia="仿宋_GB2312"/>
          <w:b w:val="0"/>
          <w:sz w:val="32"/>
        </w:rPr>
        <w:t>三、《支出决算表》</w:t>
      </w:r>
    </w:p>
    <w:p w14:paraId="27D71FB8">
      <w:pPr>
        <w:spacing w:line="240" w:lineRule="auto"/>
        <w:ind w:firstLine="640"/>
        <w:jc w:val="both"/>
      </w:pPr>
      <w:r>
        <w:rPr>
          <w:rFonts w:ascii="仿宋_GB2312" w:hAnsi="仿宋_GB2312" w:eastAsia="仿宋_GB2312"/>
          <w:b w:val="0"/>
          <w:sz w:val="32"/>
        </w:rPr>
        <w:t>四、《财政拨款收入支出决算总表》</w:t>
      </w:r>
    </w:p>
    <w:p w14:paraId="1CA1F869">
      <w:pPr>
        <w:spacing w:line="240" w:lineRule="auto"/>
        <w:ind w:firstLine="640"/>
        <w:jc w:val="both"/>
      </w:pPr>
      <w:r>
        <w:rPr>
          <w:rFonts w:ascii="仿宋_GB2312" w:hAnsi="仿宋_GB2312" w:eastAsia="仿宋_GB2312"/>
          <w:b w:val="0"/>
          <w:sz w:val="32"/>
        </w:rPr>
        <w:t>五、《一般公共预算财政拨款支出决算表》</w:t>
      </w:r>
    </w:p>
    <w:p w14:paraId="70B1C9D7">
      <w:pPr>
        <w:spacing w:line="240" w:lineRule="auto"/>
        <w:ind w:firstLine="640"/>
        <w:jc w:val="both"/>
      </w:pPr>
      <w:r>
        <w:rPr>
          <w:rFonts w:ascii="仿宋_GB2312" w:hAnsi="仿宋_GB2312" w:eastAsia="仿宋_GB2312"/>
          <w:b w:val="0"/>
          <w:sz w:val="32"/>
        </w:rPr>
        <w:t>六、《一般公共预算财政拨款基本支出决算表》</w:t>
      </w:r>
    </w:p>
    <w:p w14:paraId="1C5CA023">
      <w:pPr>
        <w:spacing w:line="240" w:lineRule="auto"/>
        <w:ind w:firstLine="640"/>
        <w:jc w:val="both"/>
      </w:pPr>
      <w:r>
        <w:rPr>
          <w:rFonts w:ascii="仿宋_GB2312" w:hAnsi="仿宋_GB2312" w:eastAsia="仿宋_GB2312"/>
          <w:b w:val="0"/>
          <w:sz w:val="32"/>
        </w:rPr>
        <w:t>七、《政府性基金预算财政拨款收入支出决算表》</w:t>
      </w:r>
    </w:p>
    <w:p w14:paraId="50809807">
      <w:pPr>
        <w:spacing w:line="240" w:lineRule="auto"/>
        <w:ind w:firstLine="640"/>
        <w:jc w:val="both"/>
      </w:pPr>
      <w:r>
        <w:rPr>
          <w:rFonts w:ascii="仿宋_GB2312" w:hAnsi="仿宋_GB2312" w:eastAsia="仿宋_GB2312"/>
          <w:b w:val="0"/>
          <w:sz w:val="32"/>
        </w:rPr>
        <w:t>八、《国有资本经营预算财政拨款收入支出决算表》</w:t>
      </w:r>
    </w:p>
    <w:p w14:paraId="49446CB1">
      <w:pPr>
        <w:spacing w:line="240" w:lineRule="auto"/>
        <w:ind w:firstLine="640"/>
        <w:jc w:val="both"/>
      </w:pPr>
      <w:r>
        <w:rPr>
          <w:rFonts w:ascii="仿宋_GB2312" w:hAnsi="仿宋_GB2312" w:eastAsia="仿宋_GB2312"/>
          <w:b w:val="0"/>
          <w:sz w:val="32"/>
        </w:rPr>
        <w:t>九、《财政拨款“三公”经费支出决算表》</w:t>
      </w:r>
    </w:p>
    <w:p w14:paraId="4E768B35">
      <w:pPr>
        <w:spacing w:line="240" w:lineRule="auto"/>
        <w:ind w:firstLine="640"/>
        <w:jc w:val="both"/>
      </w:pPr>
    </w:p>
    <w:p w14:paraId="43F751EE">
      <w:pPr>
        <w:spacing w:line="240" w:lineRule="auto"/>
        <w:ind w:firstLine="640"/>
        <w:jc w:val="both"/>
      </w:pPr>
    </w:p>
    <w:p w14:paraId="786DCAB6">
      <w:pPr>
        <w:spacing w:line="240" w:lineRule="auto"/>
        <w:ind w:firstLine="640"/>
        <w:jc w:val="both"/>
      </w:pPr>
    </w:p>
    <w:p w14:paraId="7D709B60">
      <w:pPr>
        <w:spacing w:line="240" w:lineRule="auto"/>
        <w:ind w:firstLine="640"/>
        <w:jc w:val="both"/>
      </w:pPr>
    </w:p>
    <w:p w14:paraId="4BA422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720828-1481-46A8-BE8E-8B126B7593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884069D-3120-4459-95D3-31C4A3196423}"/>
  </w:font>
  <w:font w:name="仿宋_GB2312">
    <w:panose1 w:val="02010609030101010101"/>
    <w:charset w:val="86"/>
    <w:family w:val="modern"/>
    <w:pitch w:val="default"/>
    <w:sig w:usb0="00000001" w:usb1="080E0000" w:usb2="00000000" w:usb3="00000000" w:csb0="00040000" w:csb1="00000000"/>
    <w:embedRegular r:id="rId3" w:fontKey="{35103B1A-AD34-4CDD-8277-BE3EEC16A07B}"/>
  </w:font>
  <w:font w:name="楷体_GB2312">
    <w:panose1 w:val="02010609030101010101"/>
    <w:charset w:val="86"/>
    <w:family w:val="auto"/>
    <w:pitch w:val="default"/>
    <w:sig w:usb0="00000001" w:usb1="080E0000" w:usb2="00000000" w:usb3="00000000" w:csb0="00040000" w:csb1="00000000"/>
    <w:embedRegular r:id="rId4" w:fontKey="{3271F4C5-7871-4E0F-9BB0-902B6DC6ED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994D8B"/>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2274C2"/>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130409"/>
    <w:rsid w:val="4B4C0111"/>
    <w:rsid w:val="4BB23021"/>
    <w:rsid w:val="4F3F074E"/>
    <w:rsid w:val="501E59C1"/>
    <w:rsid w:val="50DB5F45"/>
    <w:rsid w:val="52F92565"/>
    <w:rsid w:val="543D17CB"/>
    <w:rsid w:val="55DA564E"/>
    <w:rsid w:val="56E07045"/>
    <w:rsid w:val="583059FA"/>
    <w:rsid w:val="587E6212"/>
    <w:rsid w:val="5AFC6609"/>
    <w:rsid w:val="5FA17648"/>
    <w:rsid w:val="5FD320BD"/>
    <w:rsid w:val="60DE4D57"/>
    <w:rsid w:val="613409CB"/>
    <w:rsid w:val="61A46A97"/>
    <w:rsid w:val="62DD7D21"/>
    <w:rsid w:val="630951DF"/>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4605</Words>
  <Characters>5220</Characters>
  <Lines>0</Lines>
  <Paragraphs>0</Paragraphs>
  <TotalTime>4</TotalTime>
  <ScaleCrop>false</ScaleCrop>
  <LinksUpToDate>false</LinksUpToDate>
  <CharactersWithSpaces>5228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2025-09-08T09:22:07Z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