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lang w:eastAsia="zh-CN"/>
        </w:rPr>
      </w:pPr>
      <w:r>
        <w:rPr>
          <w:rFonts w:ascii="方正小标宋_GBK" w:eastAsia="方正小标宋_GBK" w:hAnsi="黑体" w:cs="仿宋_GB2312" w:hint="eastAsia"/>
          <w:bCs/>
          <w:color w:val="auto"/>
          <w:kern w:val="0"/>
          <w:sz w:val="44"/>
          <w:szCs w:val="44"/>
          <w:highlight w:val="none"/>
        </w:rPr>
        <w:t xml:space="preserve">2024年办公经费及业务</w:t>
      </w:r>
      <w:r>
        <w:rPr>
          <w:rFonts w:ascii="方正小标宋_GBK" w:eastAsia="方正小标宋_GBK" w:hAnsi="黑体" w:cs="仿宋_GB2312" w:hint="eastAsia"/>
          <w:bCs/>
          <w:color w:val="auto"/>
          <w:kern w:val="0"/>
          <w:sz w:val="44"/>
          <w:szCs w:val="44"/>
          <w:highlight w:val="none"/>
          <w:lang w:eastAsia="zh-CN"/>
        </w:rPr>
        <w:t xml:space="preserve">活动经费项目</w:t>
      </w: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rPr>
        <w:t xml:space="preserve">支出绩效评价报告</w:t>
      </w:r>
    </w:p>
    <w:p>
      <w:pPr>
        <w:spacing w:line="560" w:lineRule="exact"/>
        <w:jc w:val="center"/>
        <w:rPr>
          <w:rFonts w:ascii="方正小标宋_GBK" w:eastAsia="方正小标宋_GBK" w:hAnsi="黑体" w:cs="仿宋_GB2312" w:hint="eastAsia"/>
          <w:color w:val="auto"/>
          <w:kern w:val="0"/>
          <w:sz w:val="44"/>
          <w:szCs w:val="44"/>
          <w:highlight w:val="none"/>
        </w:rPr>
      </w:pP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lang w:eastAsia="zh-CN"/>
        </w:rPr>
      </w:pPr>
      <w:r>
        <w:rPr>
          <w:rFonts w:ascii="黑体" w:eastAsia="黑体" w:hAnsi="黑体" w:cs="仿宋_GB2312" w:hint="eastAsia"/>
          <w:color w:val="auto"/>
          <w:kern w:val="0"/>
          <w:sz w:val="32"/>
          <w:szCs w:val="32"/>
          <w:highlight w:val="none"/>
        </w:rPr>
        <w:t xml:space="preserve">项目名称：2024年办公经费及业务</w:t>
      </w:r>
      <w:r>
        <w:rPr>
          <w:rFonts w:ascii="黑体" w:eastAsia="黑体" w:hAnsi="黑体" w:cs="仿宋_GB2312" w:hint="eastAsia"/>
          <w:color w:val="auto"/>
          <w:kern w:val="0"/>
          <w:sz w:val="32"/>
          <w:szCs w:val="32"/>
          <w:highlight w:val="none"/>
          <w:lang w:eastAsia="zh-CN"/>
        </w:rPr>
        <w:t xml:space="preserve">活动经费项目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项目单位：阿图什市供销合作社联合社</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主管部门：阿图什市供销合作社联合社</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28</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lang w:eastAsia="zh-CN"/>
        </w:rPr>
      </w:pPr>
      <w:r>
        <w:rPr>
          <w:rFonts w:ascii="方正小标宋_GBK" w:eastAsia="方正小标宋_GBK" w:hAnsi="仿宋_GB2312" w:cs="仿宋_GB2312" w:hint="eastAsia"/>
          <w:bCs/>
          <w:color w:val="auto"/>
          <w:sz w:val="44"/>
          <w:szCs w:val="44"/>
          <w:highlight w:val="none"/>
        </w:rPr>
        <w:t xml:space="preserve">2024年办公经费及业务</w:t>
      </w:r>
      <w:r>
        <w:rPr>
          <w:rFonts w:ascii="方正小标宋_GBK" w:eastAsia="方正小标宋_GBK" w:hAnsi="仿宋_GB2312" w:cs="仿宋_GB2312" w:hint="eastAsia"/>
          <w:bCs/>
          <w:color w:val="auto"/>
          <w:sz w:val="44"/>
          <w:szCs w:val="44"/>
          <w:highlight w:val="none"/>
          <w:lang w:eastAsia="zh-CN"/>
        </w:rPr>
        <w:t xml:space="preserve">活动经费项目</w:t>
      </w: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根据自治州“十四五”规划及供销社行业发展需要，按自治区供销社工作要求，结合阿图什市供销合作社联合社职能及工作职责，按照年度工作计划，开展阿图什市供销社业务活动费及办公经费项目。为进一步补齐阿图什市供销合作社联合社工作短板，提升供销社系统工作质量。根据《中华全国供销总社章程和自治区供销合作社章程以及自治州供销合作社章程》要求，切实保证供销社机关工作经费，是进一步落实供销社章程关于保证供销社机关经费规定的具体举措，是供销社履行工作职能的有力保障。</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本项目总投资7.5万元，用于采购其他办公用品10批次2600元/批、采购电脑耗材10批次500元/批、采购广告宣传服务10批次2400元/批、采购其他农副食品5批次2000元/批，对单位办公设备进行维修维护10次1000元/次，共计7.5万元。保证单位工作正常运行，提高工作人员办公效率，完善组织配套设施设备，不断提高服务群众能力。</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实施主体：本项目的主管部门为阿图什市供销合作社联合社,实施单位为阿图什市供销合作社联合社，主要职责</w:t>
      </w:r>
      <w:r>
        <w:rPr>
          <w:rFonts w:ascii="仿宋_GB2312" w:hAnsi="仿宋_GB2312" w:cs="仿宋_GB2312" w:hint="eastAsia"/>
          <w:bCs/>
          <w:color w:val="auto"/>
          <w:sz w:val="32"/>
          <w:szCs w:val="30"/>
          <w:highlight w:val="none"/>
          <w:lang w:eastAsia="zh-CN"/>
        </w:rPr>
        <w:t xml:space="preserve">承担全市供销社系统的改革、发展、协调、稳定、管理、监督等工作任务、制定全区供销社的发展战略、发展目标和规划，指导全区供销社建立，发展和完善农业社会服务体系促进城乡物质交流加快和推进农村现代流通服务体系建设。</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本项目的实施符合《中华全国供销总社章程和自治区供销合作社章程以及自治州供销合作社章程》相关要求，实际</w:t>
      </w:r>
      <w:r>
        <w:rPr>
          <w:rFonts w:ascii="仿宋_GB2312" w:hAnsi="仿宋_GB2312" w:cs="仿宋_GB2312" w:hint="eastAsia"/>
          <w:bCs/>
          <w:color w:val="auto"/>
          <w:sz w:val="32"/>
          <w:szCs w:val="30"/>
          <w:highlight w:val="none"/>
          <w:lang w:val="en-US" w:eastAsia="zh-CN"/>
        </w:rPr>
        <w:t xml:space="preserve">完成</w:t>
      </w:r>
      <w:r>
        <w:rPr>
          <w:rFonts w:ascii="仿宋_GB2312" w:hAnsi="仿宋_GB2312" w:cs="仿宋_GB2312" w:hint="eastAsia"/>
          <w:bCs/>
          <w:color w:val="auto"/>
          <w:sz w:val="32"/>
          <w:szCs w:val="30"/>
          <w:highlight w:val="none"/>
        </w:rPr>
        <w:t xml:space="preserve">采购办公用品及设备数量10批，采购广告宣传服务10批，采购其他农副食品5批；通过实施本项目保证单位工作正常运行，提高工作人员办公效率，完善组织配套设施设备，不断提高服务群众能力。</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7</w:t>
      </w:r>
      <w:r>
        <w:rPr>
          <w:rStyle w:val="Strong"/>
          <w:rFonts w:ascii="仿宋_GB2312" w:hAnsi="仿宋_GB2312" w:cs="仿宋_GB2312" w:hint="eastAsia"/>
          <w:b w:val="0"/>
          <w:bCs w:val="0"/>
          <w:color w:val="auto"/>
          <w:spacing w:val="-4"/>
          <w:sz w:val="32"/>
          <w:szCs w:val="30"/>
          <w:highlight w:val="none"/>
          <w:lang w:val="en-US" w:eastAsia="zh-CN"/>
        </w:rPr>
        <w:t xml:space="preserve">.50</w:t>
      </w:r>
      <w:r>
        <w:rPr>
          <w:rStyle w:val="Strong"/>
          <w:rFonts w:ascii="仿宋_GB2312" w:hAnsi="仿宋_GB2312" w:cs="仿宋_GB2312" w:hint="eastAsia"/>
          <w:b w:val="0"/>
          <w:bCs w:val="0"/>
          <w:color w:val="auto"/>
          <w:spacing w:val="-4"/>
          <w:sz w:val="32"/>
          <w:szCs w:val="30"/>
          <w:highlight w:val="none"/>
        </w:rPr>
        <w:t xml:space="preserve">万元，资金来源为本级部门预算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w:t>
      </w:r>
      <w:r>
        <w:rPr>
          <w:rStyle w:val="Strong"/>
          <w:rFonts w:ascii="仿宋_GB2312" w:hAnsi="仿宋_GB2312" w:cs="仿宋_GB2312" w:hint="eastAsia"/>
          <w:b w:val="0"/>
          <w:color w:val="auto"/>
          <w:spacing w:val="-4"/>
          <w:sz w:val="32"/>
          <w:szCs w:val="30"/>
          <w:highlight w:val="none"/>
          <w:lang w:val="en-US" w:eastAsia="zh-CN"/>
        </w:rPr>
        <w:t xml:space="preserve">2.03</w:t>
      </w:r>
      <w:r>
        <w:rPr>
          <w:rStyle w:val="Strong"/>
          <w:rFonts w:ascii="仿宋_GB2312" w:hAnsi="仿宋_GB2312" w:cs="仿宋_GB2312" w:hint="eastAsia"/>
          <w:b w:val="0"/>
          <w:color w:val="auto"/>
          <w:spacing w:val="-4"/>
          <w:sz w:val="32"/>
          <w:szCs w:val="30"/>
          <w:highlight w:val="none"/>
        </w:rPr>
        <w:t xml:space="preserve">万元，资金执行率达到</w:t>
      </w:r>
      <w:r>
        <w:rPr>
          <w:rStyle w:val="Strong"/>
          <w:rFonts w:ascii="仿宋_GB2312" w:hAnsi="仿宋_GB2312" w:cs="仿宋_GB2312" w:hint="eastAsia"/>
          <w:b w:val="0"/>
          <w:color w:val="auto"/>
          <w:spacing w:val="-4"/>
          <w:sz w:val="32"/>
          <w:szCs w:val="30"/>
          <w:highlight w:val="none"/>
          <w:lang w:val="en-US" w:eastAsia="zh-CN"/>
        </w:rPr>
        <w:t xml:space="preserve">27.10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int="eastAsia"/>
          <w:b w:val="0"/>
          <w:color w:val="auto"/>
          <w:spacing w:val="-4"/>
          <w:sz w:val="32"/>
          <w:highlight w:val="none"/>
        </w:rPr>
      </w:pPr>
      <w:r>
        <w:rPr>
          <w:rStyle w:val="Strong"/>
          <w:rFonts w:ascii="仿宋_GB2312" w:hint="eastAsia"/>
          <w:b w:val="0"/>
          <w:color w:val="auto"/>
          <w:spacing w:val="-4"/>
          <w:sz w:val="32"/>
          <w:highlight w:val="none"/>
        </w:rPr>
        <w:t xml:space="preserve">采购办公用品及设备成本2.0287万元</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本项目总投资7.5万元，用于采购其他办公用品10批次2600元/批、采购电脑耗材10批次500元/批、采购广告宣传服务10批次2400元/批、采购其他农副食品5批次2000元/批，对单位办公设备进行维修维护10次1000元/次，共计7.5万元。保证单位工作正常运行，提高工作人员办公效率，完善组织配套设施设备，不断提高服务群众能力。</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 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w:t>
      </w:r>
      <w:r>
        <w:rPr>
          <w:rFonts w:ascii="仿宋_GB2312" w:hAnsi="仿宋_GB2312" w:cs="仿宋_GB2312" w:hint="eastAsia"/>
          <w:color w:val="auto"/>
          <w:sz w:val="32"/>
          <w:szCs w:val="32"/>
          <w:highlight w:val="none"/>
          <w:lang w:eastAsia="zh-CN"/>
        </w:rPr>
        <w:t xml:space="preserve">和</w:t>
      </w:r>
      <w:r>
        <w:rPr>
          <w:rFonts w:ascii="仿宋_GB2312" w:eastAsia="仿宋_GB2312" w:hAnsi="仿宋_GB2312" w:cs="仿宋_GB2312" w:hint="eastAsia"/>
          <w:color w:val="auto"/>
          <w:sz w:val="32"/>
          <w:szCs w:val="32"/>
          <w:highlight w:val="none"/>
        </w:rPr>
        <w:t xml:space="preserve">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2024年办公经费及业务活动经费项目</w:t>
      </w:r>
      <w:r>
        <w:rPr>
          <w:rFonts w:ascii="仿宋_GB2312" w:hAnsi="仿宋_GB2312" w:cs="仿宋_GB2312" w:hint="eastAsia"/>
          <w:color w:val="auto"/>
          <w:sz w:val="32"/>
          <w:szCs w:val="32"/>
          <w:highlight w:val="none"/>
        </w:rPr>
        <w:t xml:space="preserve">从预算编制合理性、资金使用合规性、项目管理的规范性、实施情况、总体绩效目标、各项绩效指标完成情况以及预算执行情况进行科学性评价。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color w:val="auto"/>
          <w:sz w:val="32"/>
          <w:highlight w:val="none"/>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 </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w:t>
      </w:r>
      <w:r>
        <w:rPr>
          <w:rFonts w:ascii="仿宋_GB2312" w:hAnsi="仿宋_GB2312" w:cs="仿宋_GB2312" w:hint="eastAsia"/>
          <w:color w:val="auto"/>
          <w:sz w:val="32"/>
          <w:highlight w:val="none"/>
          <w:lang w:eastAsia="zh-CN"/>
        </w:rPr>
        <w:t xml:space="preserve">应用、</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办公经费及业务活动经费项目的深入调研基础上，按照《项目支出绩效评价管理办法》（财预〔2021〕10号）对于指标体系的要求和规范，建立一套适合评价2024年办公经费及业务活动经费项目的指标体系，从项目决策、项目过程、项目产出和项目绩效四个维度全面考察2024年办公经费及业务活动经费项目资金的效益，并重点对于项目的产出和绩效进行总体分析，以达到通过指标体系的科学评价反思管理及决策问题的目标。（见附件1）</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和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3"/>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2024年办公经费及业务</w:t>
      </w:r>
      <w:r>
        <w:rPr>
          <w:rFonts w:ascii="仿宋_GB2312" w:hAnsi="仿宋_GB2312" w:cs="仿宋_GB2312" w:hint="eastAsia"/>
          <w:color w:val="auto"/>
          <w:sz w:val="32"/>
          <w:szCs w:val="24"/>
          <w:highlight w:val="none"/>
          <w:lang w:val="en-US" w:eastAsia="zh-CN" w:bidi="ar-SA"/>
        </w:rPr>
        <w:t xml:space="preserve">活动经费项目</w:t>
      </w:r>
      <w:r>
        <w:rPr>
          <w:rFonts w:ascii="仿宋_GB2312" w:eastAsia="仿宋_GB2312" w:hAnsi="仿宋_GB2312" w:cs="仿宋_GB2312" w:hint="eastAsia"/>
          <w:color w:val="auto"/>
          <w:sz w:val="32"/>
          <w:szCs w:val="24"/>
          <w:highlight w:val="none"/>
          <w:lang w:val="en-US" w:eastAsia="zh-CN" w:bidi="ar-SA"/>
        </w:rPr>
        <w:t xml:space="preserve">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计划标准、行业标准、历史标准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王财富</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海如拉</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孟志刚</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办公经费及业务活动经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组织管理、产出与效益效果。在此基础上，以相关的项目数据为基础，综合运用不同的评价方法，结合评价标准和评分规则，2024年办公经费及业务活动经费项目综合得分为89.26分，</w:t>
      </w:r>
      <w:r>
        <w:rPr>
          <w:rFonts w:ascii="仿宋_GB2312" w:eastAsia="仿宋_GB2312" w:hAnsi="Cambria" w:hint="eastAsia"/>
          <w:color w:val="auto"/>
          <w:sz w:val="32"/>
          <w:szCs w:val="32"/>
          <w:highlight w:val="none"/>
        </w:rPr>
        <w:t xml:space="preserve">评价结果为良。</w:t>
      </w:r>
    </w:p>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zh-CN" w:eastAsia="zh-CN" w:bidi="ar-SA"/>
        </w:rPr>
        <w:t xml:space="preserve">2024年办公经费及业务活动经费项目</w:t>
      </w:r>
      <w:r>
        <w:rPr>
          <w:rFonts w:ascii="仿宋_GB2312" w:eastAsia="仿宋_GB2312" w:hAnsi="仿宋_GB2312" w:cs="仿宋_GB2312" w:hint="eastAsia"/>
          <w:b/>
          <w:color w:val="auto"/>
          <w:sz w:val="32"/>
          <w:szCs w:val="32"/>
          <w:highlight w:val="none"/>
          <w:lang w:val="en-US" w:eastAsia="zh-CN" w:bidi="ar-SA"/>
        </w:rPr>
        <w:t xml:space="preserve">评价得分情况</w:t>
      </w:r>
    </w:p>
    <w:tbl>
      <w:tblPr>
        <w:tblStyle w:val="NormalTable"/>
        <w:tblW w:w="9309" w:type="dxa"/>
        <w:jc w:val="center"/>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Layout w:type="fixed"/>
          <w:tblCellMar>
            <w:top w:w="0" w:type="dxa"/>
            <w:left w:w="10" w:type="dxa"/>
            <w:bottom w:w="0" w:type="dxa"/>
            <w:right w:w="10" w:type="dxa"/>
          </w:tblCellMar>
        </w:tblPrEx>
        <w:trPr>
          <w:trHeight w:hRule="exact" w:val="749"/>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Layout w:type="fixed"/>
          <w:tblCellMar>
            <w:top w:w="0" w:type="dxa"/>
            <w:left w:w="10" w:type="dxa"/>
            <w:bottom w:w="0" w:type="dxa"/>
            <w:right w:w="10" w:type="dxa"/>
          </w:tblCellMar>
        </w:tblPrEx>
        <w:trPr>
          <w:trHeight w:hRule="exact" w:val="824"/>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shd w:val="clear" w:color="auto" w:fill="FFFFFF"/>
            <w:noWrap w:val="0"/>
            <w:vAlign w:val="top"/>
          </w:tcPr>
          <w:p>
            <w:pPr>
              <w:pStyle w:val="Other|1"/>
              <w:spacing w:line="560" w:lineRule="exact"/>
              <w:ind w:firstLine="0"/>
              <w:rPr>
                <w:rFonts w:ascii="仿宋_GB2312" w:eastAsia="仿宋_GB2312" w:hAnsi="仿宋_GB2312" w:cs="仿宋_GB2312" w:hint="eastAsia"/>
                <w:color w:val="auto"/>
                <w:sz w:val="32"/>
                <w:szCs w:val="32"/>
                <w:highlight w:val="none"/>
                <w:lang w:val="en-US" w:eastAsia="zh-CN" w:bidi="ar-SA"/>
              </w:rPr>
            </w:pPr>
          </w:p>
        </w:tc>
      </w:tr>
      <w:tr>
        <w:tblPrEx>
          <w:tblW w:w="9309" w:type="dxa"/>
          <w:tblLayout w:type="fixed"/>
          <w:tblCellMar>
            <w:top w:w="0" w:type="dxa"/>
            <w:left w:w="10" w:type="dxa"/>
            <w:bottom w:w="0" w:type="dxa"/>
            <w:right w:w="10" w:type="dxa"/>
          </w:tblCellMar>
        </w:tblPrEx>
        <w:trPr>
          <w:trHeight w:hRule="exact" w:val="835"/>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380"/>
              <w:jc w:val="left"/>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13.36</w:t>
            </w:r>
          </w:p>
        </w:tc>
        <w:tc>
          <w:tcPr>
            <w:tcW w:w="3866" w:type="dxa"/>
            <w:tcBorders>
              <w:top w:val="single" w:sz="4" w:space="0" w:color="auto"/>
              <w:left w:val="single" w:sz="4" w:space="0" w:color="auto"/>
              <w:right w:val="single" w:sz="4" w:space="0" w:color="auto"/>
            </w:tcBorders>
            <w:shd w:val="clear" w:color="auto" w:fill="FFFFFF"/>
            <w:noWrap w:val="0"/>
            <w:vAlign w:val="bottom"/>
          </w:tcPr>
          <w:p>
            <w:pPr>
              <w:pStyle w:val="Other|1"/>
              <w:spacing w:line="560" w:lineRule="exact"/>
              <w:ind w:firstLine="0"/>
              <w:jc w:val="left"/>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预算执行率27.1%</w:t>
            </w:r>
          </w:p>
        </w:tc>
      </w:tr>
      <w:tr>
        <w:tblPrEx>
          <w:tblW w:w="9309" w:type="dxa"/>
          <w:tblLayout w:type="fixed"/>
          <w:tblCellMar>
            <w:top w:w="0" w:type="dxa"/>
            <w:left w:w="10" w:type="dxa"/>
            <w:bottom w:w="0" w:type="dxa"/>
            <w:right w:w="10" w:type="dxa"/>
          </w:tblCellMar>
        </w:tblPrEx>
        <w:trPr>
          <w:trHeight w:hRule="exact" w:val="857"/>
          <w:jc w:val="center"/>
        </w:trPr>
        <w:tc>
          <w:tcPr>
            <w:tcW w:w="1447"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22.9</w:t>
            </w:r>
          </w:p>
        </w:tc>
        <w:tc>
          <w:tcPr>
            <w:tcW w:w="3866" w:type="dxa"/>
            <w:tcBorders>
              <w:top w:val="single" w:sz="4" w:space="0" w:color="auto"/>
              <w:left w:val="single" w:sz="4" w:space="0" w:color="auto"/>
              <w:right w:val="single" w:sz="4" w:space="0" w:color="auto"/>
            </w:tcBorders>
            <w:shd w:val="clear" w:color="auto" w:fill="FFFFFF"/>
            <w:noWrap w:val="0"/>
            <w:vAlign w:val="center"/>
          </w:tcPr>
          <w:p>
            <w:pPr>
              <w:pStyle w:val="Other|1"/>
              <w:spacing w:line="560" w:lineRule="exact"/>
              <w:ind w:firstLine="0"/>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5条指标未完成</w:t>
            </w: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r>
        <w:tblPrEx>
          <w:tblW w:w="9309" w:type="dxa"/>
          <w:tblLayout w:type="fixed"/>
          <w:tblCellMar>
            <w:top w:w="0" w:type="dxa"/>
            <w:left w:w="10" w:type="dxa"/>
            <w:bottom w:w="0" w:type="dxa"/>
            <w:right w:w="10" w:type="dxa"/>
          </w:tblCellMar>
        </w:tblPrEx>
        <w:trPr>
          <w:trHeight w:hRule="exact" w:val="763"/>
          <w:jc w:val="center"/>
        </w:trPr>
        <w:tc>
          <w:tcPr>
            <w:tcW w:w="1447"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shd w:val="clear" w:color="auto" w:fill="FFFFFF"/>
            <w:noWrap w:val="0"/>
            <w:vAlign w:val="center"/>
          </w:tcPr>
          <w:p>
            <w:pPr>
              <w:pStyle w:val="Other|1"/>
              <w:spacing w:line="560" w:lineRule="exact"/>
              <w:ind w:firstLine="0"/>
              <w:jc w:val="center"/>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89.26</w:t>
            </w:r>
          </w:p>
        </w:tc>
        <w:tc>
          <w:tcPr>
            <w:tcW w:w="3866" w:type="dxa"/>
            <w:tcBorders>
              <w:top w:val="single" w:sz="4" w:space="0" w:color="auto"/>
              <w:left w:val="single" w:sz="4" w:space="0" w:color="auto"/>
              <w:bottom w:val="single" w:sz="4" w:space="0" w:color="auto"/>
              <w:right w:val="single" w:sz="4" w:space="0" w:color="auto"/>
            </w:tcBorders>
            <w:shd w:val="clear" w:color="auto" w:fill="FFFFFF"/>
            <w:noWrap w:val="0"/>
            <w:vAlign w:val="top"/>
          </w:tcPr>
          <w:p>
            <w:pPr>
              <w:spacing w:line="560" w:lineRule="exact"/>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2024年办公经费及业务活动经费项目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val="en-US" w:eastAsia="zh-CN"/>
        </w:rPr>
        <w:t xml:space="preserve">本项目根据</w:t>
      </w:r>
      <w:r>
        <w:rPr>
          <w:rFonts w:ascii="仿宋_GB2312" w:hAnsi="仿宋_GB2312" w:cs="仿宋_GB2312" w:hint="eastAsia"/>
          <w:color w:val="auto"/>
          <w:sz w:val="32"/>
          <w:szCs w:val="32"/>
          <w:highlight w:val="none"/>
        </w:rPr>
        <w:t xml:space="preserve">《中华全国供销总社章程和自治区供销合作社章程以及自治州供销合作社章程》相关要求，</w:t>
      </w:r>
      <w:r>
        <w:rPr>
          <w:rFonts w:ascii="仿宋_GB2312" w:hAnsi="仿宋_GB2312" w:cs="仿宋_GB2312" w:hint="eastAsia"/>
          <w:color w:val="auto"/>
          <w:sz w:val="32"/>
          <w:szCs w:val="32"/>
          <w:highlight w:val="none"/>
          <w:lang w:val="en-US" w:eastAsia="zh-CN"/>
        </w:rPr>
        <w:t xml:space="preserve">全年</w:t>
      </w:r>
      <w:r>
        <w:rPr>
          <w:rFonts w:ascii="仿宋_GB2312" w:hAnsi="仿宋_GB2312" w:cs="仿宋_GB2312" w:hint="eastAsia"/>
          <w:color w:val="auto"/>
          <w:sz w:val="32"/>
          <w:szCs w:val="32"/>
          <w:highlight w:val="none"/>
        </w:rPr>
        <w:t xml:space="preserve">实际完成采购办公用品及设备数量10批，采购广告宣传服务10批，采购其他农副食品5批；通过实施本项目保证单位工作正常运行，提高工作人员办公效率，完善组织配套设施设备，不断提高服务群众能力。</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eastAsia="仿宋_GB2312" w:hAnsi="仿宋" w:cs="宋体" w:hint="eastAsia"/>
          <w:color w:val="auto"/>
          <w:kern w:val="0"/>
          <w:sz w:val="32"/>
          <w:szCs w:val="32"/>
          <w:highlight w:val="none"/>
          <w:lang w:val="en-US" w:eastAsia="zh-CN" w:bidi="ar-SA"/>
        </w:rPr>
        <w:t xml:space="preserve">2024年办公经费及业务</w:t>
      </w:r>
      <w:r>
        <w:rPr>
          <w:rFonts w:ascii="仿宋_GB2312" w:hAnsi="仿宋" w:cs="宋体" w:hint="eastAsia"/>
          <w:color w:val="auto"/>
          <w:kern w:val="0"/>
          <w:sz w:val="32"/>
          <w:szCs w:val="32"/>
          <w:highlight w:val="none"/>
          <w:lang w:val="en-US" w:eastAsia="zh-CN" w:bidi="ar-SA"/>
        </w:rPr>
        <w:t xml:space="preserve">活动经费项目</w:t>
      </w:r>
      <w:r>
        <w:rPr>
          <w:rFonts w:ascii="仿宋_GB2312" w:hAnsi="仿宋_GB2312" w:cs="仿宋_GB2312" w:hint="eastAsia"/>
          <w:color w:val="auto"/>
          <w:sz w:val="32"/>
          <w:szCs w:val="32"/>
          <w:highlight w:val="none"/>
        </w:rPr>
        <w:t xml:space="preserve">支出共计2.03万元，评价得分值</w:t>
      </w:r>
      <w:r>
        <w:rPr>
          <w:rFonts w:ascii="仿宋_GB2312" w:hAnsi="仿宋_GB2312" w:cs="仿宋_GB2312" w:hint="eastAsia"/>
          <w:color w:val="auto"/>
          <w:sz w:val="32"/>
          <w:szCs w:val="32"/>
          <w:highlight w:val="none"/>
          <w:lang w:val="en-US" w:eastAsia="zh-CN"/>
        </w:rPr>
        <w:t xml:space="preserve">89.26</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rPr>
        <w:t xml:space="preserve">办公经费及业务</w:t>
      </w:r>
      <w:r>
        <w:rPr>
          <w:rFonts w:ascii="仿宋_GB2312" w:hAnsi="仿宋_GB2312" w:cs="仿宋_GB2312" w:hint="eastAsia"/>
          <w:color w:val="auto"/>
          <w:sz w:val="32"/>
          <w:szCs w:val="32"/>
          <w:highlight w:val="none"/>
          <w:lang w:eastAsia="zh-CN"/>
        </w:rPr>
        <w:t xml:space="preserve">活动经费项目</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继而进行该项目支出预算的编制、执行和上报等工作。在项目预算的编制工程中，坚持履行政府职能方面的轻重缓急程度进行先后排序，坚持对2024年办公经费及业务</w:t>
      </w:r>
      <w:r>
        <w:rPr>
          <w:rFonts w:ascii="仿宋_GB2312" w:hAnsi="仿宋_GB2312" w:cs="仿宋_GB2312" w:hint="eastAsia"/>
          <w:color w:val="auto"/>
          <w:sz w:val="32"/>
          <w:szCs w:val="32"/>
          <w:highlight w:val="none"/>
          <w:lang w:eastAsia="zh-CN"/>
        </w:rPr>
        <w:t xml:space="preserve">活动经费项目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财政局从资金申请、资金使用、会计核算三个环节加强资金管理。在项目资金申请环节，负责科室严格按照国库集中支付流程向市财政局申请财政资金，我局通过召开党组会议确定2024年办公经费及业务</w:t>
      </w:r>
      <w:r>
        <w:rPr>
          <w:rFonts w:ascii="仿宋_GB2312" w:hAnsi="仿宋_GB2312" w:cs="仿宋_GB2312" w:hint="eastAsia"/>
          <w:color w:val="auto"/>
          <w:sz w:val="32"/>
          <w:szCs w:val="32"/>
          <w:highlight w:val="none"/>
          <w:lang w:eastAsia="zh-CN"/>
        </w:rPr>
        <w:t xml:space="preserve">活动经费项目</w:t>
      </w:r>
      <w:r>
        <w:rPr>
          <w:rFonts w:ascii="仿宋_GB2312" w:hAnsi="仿宋_GB2312" w:cs="仿宋_GB2312" w:hint="eastAsia"/>
          <w:color w:val="auto"/>
          <w:sz w:val="32"/>
          <w:szCs w:val="32"/>
          <w:highlight w:val="none"/>
        </w:rPr>
        <w:t xml:space="preserve">组织形式，明确了该项目经费的开支范围为办公经费及业务活动</w:t>
      </w:r>
      <w:r>
        <w:rPr>
          <w:rFonts w:ascii="仿宋_GB2312" w:hAnsi="仿宋_GB2312" w:cs="仿宋_GB2312" w:hint="eastAsia"/>
          <w:color w:val="auto"/>
          <w:sz w:val="32"/>
          <w:szCs w:val="32"/>
          <w:highlight w:val="none"/>
          <w:lang w:val="en-US" w:eastAsia="zh-CN"/>
        </w:rPr>
        <w:t xml:space="preserve">经费支出</w:t>
      </w:r>
      <w:r>
        <w:rPr>
          <w:rFonts w:ascii="仿宋_GB2312" w:hAnsi="仿宋_GB2312" w:cs="仿宋_GB2312" w:hint="eastAsia"/>
          <w:color w:val="auto"/>
          <w:sz w:val="32"/>
          <w:szCs w:val="32"/>
          <w:highlight w:val="none"/>
        </w:rPr>
        <w:t xml:space="preserve">，严格做到专款专用，责任到人。在资金使用环节，严格遵守相关规定，严格按照我局资金财务审批流程办理款项支付。在会计核算环节，对本项目资金实际单独核算，确保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年初财政批复的</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（4）严格按照政府采购制度规范实施政府采购。对于需要实施政府采购的活动，严格实施、履行采购手续，根据2024年办公经费及业务</w:t>
      </w:r>
      <w:r>
        <w:rPr>
          <w:rFonts w:ascii="仿宋_GB2312" w:hAnsi="仿宋_GB2312" w:cs="仿宋_GB2312" w:hint="eastAsia"/>
          <w:color w:val="auto"/>
          <w:sz w:val="32"/>
          <w:szCs w:val="32"/>
          <w:highlight w:val="none"/>
          <w:lang w:eastAsia="zh-CN"/>
        </w:rPr>
        <w:t xml:space="preserve">活动经费项目</w:t>
      </w:r>
      <w:r>
        <w:rPr>
          <w:rFonts w:ascii="仿宋_GB2312" w:hAnsi="仿宋_GB2312" w:cs="仿宋_GB2312" w:hint="eastAsia"/>
          <w:color w:val="auto"/>
          <w:sz w:val="32"/>
          <w:szCs w:val="32"/>
          <w:highlight w:val="none"/>
          <w:lang w:val="en-US" w:eastAsia="zh-CN"/>
        </w:rPr>
        <w:t xml:space="preserve">需求</w:t>
      </w:r>
      <w:r>
        <w:rPr>
          <w:rFonts w:ascii="仿宋_GB2312" w:hAnsi="仿宋_GB2312" w:cs="仿宋_GB2312" w:hint="eastAsia"/>
          <w:color w:val="auto"/>
          <w:sz w:val="32"/>
          <w:szCs w:val="32"/>
          <w:highlight w:val="none"/>
        </w:rPr>
        <w:t xml:space="preserve">，选择合规可行的采购形式，通过政采云平台下单方式完成采购工作，将采购政策、采购程序、采购过程规范化、透明化，提升</w:t>
      </w:r>
      <w:r>
        <w:rPr>
          <w:rFonts w:ascii="仿宋_GB2312" w:hAnsi="仿宋_GB2312" w:cs="仿宋_GB2312" w:hint="eastAsia"/>
          <w:color w:val="auto"/>
          <w:sz w:val="32"/>
          <w:szCs w:val="32"/>
          <w:highlight w:val="none"/>
          <w:lang w:val="en-US" w:eastAsia="zh-CN"/>
        </w:rPr>
        <w:t xml:space="preserve">业务类项目</w:t>
      </w:r>
      <w:r>
        <w:rPr>
          <w:rFonts w:ascii="仿宋_GB2312" w:hAnsi="仿宋_GB2312" w:cs="仿宋_GB2312" w:hint="eastAsia"/>
          <w:color w:val="auto"/>
          <w:sz w:val="32"/>
          <w:szCs w:val="32"/>
          <w:highlight w:val="none"/>
        </w:rPr>
        <w:t xml:space="preserve">相关资源和</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（5）依照预算资金管理制度，按照不定期检查与项目周期检查相结合的方式，对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2024年办公经费及业务活动经费项目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数量指标为采购办公用品及设备，预期指标值是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10批，实际完成值是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10批，指标达到预期目标。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数量指标为采购广告宣传服务，预期指标值是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10批，实际完成值是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10批，指标达到预期目标。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数量指标为采购其他农副食品，预期指标值是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5批，实际完成值是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5批，指标达到预期目标。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数量指标为单位办公设备进行维修维护次数，预期指标值是</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10次，实际完成值是</w:t>
      </w:r>
      <w:r>
        <w:rPr>
          <w:rFonts w:ascii="仿宋_GB2312" w:hAnsi="仿宋_GB2312" w:cs="仿宋_GB2312" w:hint="eastAsia"/>
          <w:color w:val="auto"/>
          <w:sz w:val="32"/>
          <w:szCs w:val="32"/>
          <w:highlight w:val="none"/>
          <w:lang w:eastAsia="zh-CN"/>
        </w:rPr>
        <w:t xml:space="preserve">等于</w:t>
      </w:r>
      <w:r>
        <w:rPr>
          <w:rFonts w:ascii="仿宋_GB2312" w:hAnsi="仿宋_GB2312" w:cs="仿宋_GB2312" w:hint="eastAsia"/>
          <w:color w:val="auto"/>
          <w:sz w:val="32"/>
          <w:szCs w:val="32"/>
          <w:highlight w:val="none"/>
        </w:rPr>
        <w:t xml:space="preserve">0次，指标</w:t>
      </w:r>
      <w:r>
        <w:rPr>
          <w:rFonts w:ascii="仿宋_GB2312" w:hAnsi="仿宋_GB2312" w:cs="仿宋_GB2312" w:hint="eastAsia"/>
          <w:color w:val="auto"/>
          <w:sz w:val="32"/>
          <w:szCs w:val="32"/>
          <w:highlight w:val="none"/>
          <w:lang w:val="en-US" w:eastAsia="zh-CN"/>
        </w:rPr>
        <w:t xml:space="preserve">未</w:t>
      </w:r>
      <w:r>
        <w:rPr>
          <w:rFonts w:ascii="仿宋_GB2312" w:hAnsi="仿宋_GB2312" w:cs="仿宋_GB2312" w:hint="eastAsia"/>
          <w:color w:val="auto"/>
          <w:sz w:val="32"/>
          <w:szCs w:val="32"/>
          <w:highlight w:val="none"/>
        </w:rPr>
        <w:t xml:space="preserve">达到预期目标。原因：本年度办公设备未产生故障，因此该指标未完成；措施：下一年度做好计划及项目管理，减少实施过程中的偏差。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质量指标为验收合格率，预期指标值是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时效指标为项目完成时间，预期指标值是2024年12月，实际完成值是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2024年12月，指标达到预期目标。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color w:val="auto"/>
          <w:sz w:val="32"/>
          <w:szCs w:val="32"/>
          <w:highlight w:val="none"/>
        </w:rPr>
      </w:pPr>
      <w:r>
        <w:rPr>
          <w:rFonts w:ascii="仿宋_GB2312" w:hint="eastAsia"/>
          <w:b/>
          <w:color w:val="auto"/>
          <w:sz w:val="32"/>
          <w:szCs w:val="32"/>
          <w:highlight w:val="none"/>
        </w:rPr>
        <w:t xml:space="preserve">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成本指标为采购办公用品及设备成本，预期指标值是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3.10万元，实际完成值是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2.0287万元，指标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达到预期目标。原因：第三方机构未及时提供支出资料，未能按时支出；措施：及时催收支出资料，加快项目支出进度，减少偏差。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成本指标为采购广告宣传服务费，预期指标值是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2.40万元，实际完成值是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达到预期目标。原因：第三方机构未及时提供支出资料，未能按时支出；措施：及时催收支出资料，加快项目支出进度，减少偏差。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成本指标为采购其他农副食品成本，预期指标值是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达到预期目标。原因：第三方机构未及时提供支出资料，未能按时支出；措施：及时催收支出资料，加快项目支出进度，减少偏差。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ascii="仿宋_GB2312" w:hint="eastAsia"/>
          <w:color w:val="auto"/>
          <w:sz w:val="32"/>
          <w:szCs w:val="32"/>
          <w:highlight w:val="none"/>
        </w:rPr>
        <w:t xml:space="preserve">成本指标为单位办公设备进行维修维护成本，预期指标值是</w:t>
      </w:r>
      <w:r>
        <w:rPr>
          <w:rFonts w:ascii="仿宋_GB2312" w:hint="eastAsia"/>
          <w:color w:val="auto"/>
          <w:sz w:val="32"/>
          <w:szCs w:val="32"/>
          <w:highlight w:val="none"/>
          <w:lang w:eastAsia="zh-CN"/>
        </w:rPr>
        <w:t xml:space="preserve">小于等于</w:t>
      </w:r>
      <w:r>
        <w:rPr>
          <w:rFonts w:ascii="仿宋_GB2312" w:hint="eastAsia"/>
          <w:color w:val="auto"/>
          <w:sz w:val="32"/>
          <w:szCs w:val="32"/>
          <w:highlight w:val="none"/>
        </w:rPr>
        <w:t xml:space="preserve">1万元，实际完成值是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0万元，指标</w:t>
      </w:r>
      <w:r>
        <w:rPr>
          <w:rFonts w:ascii="仿宋_GB2312" w:hint="eastAsia"/>
          <w:color w:val="auto"/>
          <w:sz w:val="32"/>
          <w:szCs w:val="32"/>
          <w:highlight w:val="none"/>
          <w:lang w:val="en-US" w:eastAsia="zh-CN"/>
        </w:rPr>
        <w:t xml:space="preserve">未</w:t>
      </w:r>
      <w:r>
        <w:rPr>
          <w:rFonts w:ascii="仿宋_GB2312" w:hint="eastAsia"/>
          <w:color w:val="auto"/>
          <w:sz w:val="32"/>
          <w:szCs w:val="32"/>
          <w:highlight w:val="none"/>
        </w:rPr>
        <w:t xml:space="preserve">达到预期目标。原因：本年度办公设备未产生故障，</w:t>
      </w:r>
      <w:r>
        <w:rPr>
          <w:rFonts w:ascii="仿宋_GB2312" w:hint="eastAsia"/>
          <w:color w:val="auto"/>
          <w:sz w:val="32"/>
          <w:szCs w:val="32"/>
          <w:highlight w:val="none"/>
          <w:lang w:val="en-US" w:eastAsia="zh-CN"/>
        </w:rPr>
        <w:t xml:space="preserve">未产生维护</w:t>
      </w:r>
      <w:r>
        <w:rPr>
          <w:rFonts w:ascii="仿宋_GB2312" w:hint="eastAsia"/>
          <w:color w:val="auto"/>
          <w:sz w:val="32"/>
          <w:szCs w:val="32"/>
          <w:highlight w:val="none"/>
        </w:rPr>
        <w:t xml:space="preserve">；措施：下一年度做好计划及项目管理，减少实施过程中的偏差。</w:t>
      </w:r>
    </w:p>
    <w:p>
      <w:pPr>
        <w:pageBreakBefore w:val="0"/>
        <w:widowControl w:val="0"/>
        <w:kinsoku/>
        <w:wordWrap/>
        <w:overflowPunct/>
        <w:topLinePunct w:val="0"/>
        <w:autoSpaceDE/>
        <w:bidi w:val="0"/>
        <w:spacing w:line="560" w:lineRule="exact"/>
        <w:ind w:firstLine="640" w:firstLineChars="200"/>
        <w:jc w:val="both"/>
        <w:textAlignment w:val="auto"/>
        <w:rPr>
          <w:rFonts w:ascii="楷体" w:eastAsia="楷体" w:hAnsi="楷体" w:cs="宋体"/>
          <w:b/>
          <w:bCs w:val="0"/>
          <w:color w:val="auto"/>
          <w:sz w:val="32"/>
          <w:szCs w:val="32"/>
          <w:highlight w:val="none"/>
        </w:rPr>
      </w:pPr>
      <w:r>
        <w:rPr>
          <w:rFonts w:ascii="楷体" w:eastAsia="楷体" w:hAnsi="楷体" w:cs="宋体" w:hint="eastAsia"/>
          <w:b/>
          <w:bCs w:val="0"/>
          <w:color w:val="auto"/>
          <w:sz w:val="32"/>
          <w:szCs w:val="32"/>
          <w:highlight w:val="none"/>
        </w:rPr>
        <w:t xml:space="preserve">（四）项目效益情况</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b/>
          <w:bCs/>
          <w:color w:val="auto"/>
          <w:sz w:val="32"/>
          <w:szCs w:val="32"/>
          <w:highlight w:val="none"/>
        </w:rPr>
        <w:t xml:space="preserve"> </w:t>
      </w:r>
      <w:r>
        <w:rPr>
          <w:rFonts w:ascii="仿宋_GB2312" w:hAnsi="仿宋" w:cs="宋体" w:hint="eastAsia"/>
          <w:b/>
          <w:bCs/>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eastAsia="仿宋_GB2312" w:hint="eastAsia"/>
          <w:color w:val="auto"/>
          <w:sz w:val="32"/>
          <w:szCs w:val="32"/>
          <w:highlight w:val="none"/>
          <w:lang w:eastAsia="zh-CN"/>
        </w:rPr>
      </w:pPr>
      <w:r>
        <w:rPr>
          <w:rFonts w:ascii="仿宋_GB2312" w:hAnsi="仿宋" w:cs="宋体" w:hint="eastAsia"/>
          <w:bCs/>
          <w:color w:val="auto"/>
          <w:sz w:val="32"/>
          <w:szCs w:val="32"/>
          <w:highlight w:val="none"/>
          <w:lang w:val="en-US" w:eastAsia="zh-CN"/>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项目实施产生的社会效益</w:t>
      </w:r>
      <w:r>
        <w:rPr>
          <w:rFonts w:ascii="仿宋_GB2312" w:hint="eastAsia"/>
          <w:color w:val="auto"/>
          <w:sz w:val="32"/>
          <w:szCs w:val="32"/>
          <w:highlight w:val="none"/>
        </w:rPr>
        <w:t xml:space="preserve">指标为提高工作人员办公效率，预期指标值是有效保障，实际完成值是有效保障，指标达到预期目标。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Ansi="仿宋" w:cs="宋体" w:hint="eastAsia"/>
          <w:bCs/>
          <w:color w:val="auto"/>
          <w:sz w:val="32"/>
          <w:szCs w:val="32"/>
          <w:highlight w:val="none"/>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Ansi="仿宋" w:cs="宋体" w:hint="eastAsia"/>
          <w:b/>
          <w:bCs/>
          <w:color w:val="auto"/>
          <w:sz w:val="32"/>
          <w:szCs w:val="32"/>
          <w:highlight w:val="none"/>
        </w:rPr>
      </w:pPr>
      <w:r>
        <w:rPr>
          <w:rFonts w:ascii="仿宋_GB2312" w:hAnsi="仿宋" w:cs="宋体" w:hint="eastAsia"/>
          <w:b/>
          <w:bCs/>
          <w:color w:val="auto"/>
          <w:sz w:val="32"/>
          <w:szCs w:val="32"/>
          <w:highlight w:val="none"/>
          <w:lang w:val="en-US" w:eastAsia="zh-CN"/>
        </w:rPr>
        <w:t xml:space="preserve">4</w:t>
      </w:r>
      <w:r>
        <w:rPr>
          <w:rFonts w:ascii="仿宋_GB2312" w:hAnsi="仿宋" w:cs="宋体" w:hint="eastAsia"/>
          <w:b/>
          <w:bCs/>
          <w:color w:val="auto"/>
          <w:sz w:val="32"/>
          <w:szCs w:val="32"/>
          <w:highlight w:val="none"/>
        </w:rPr>
        <w:t xml:space="preserve">．满意度指标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满意度指标为工作人员满意度，预期指标值是</w:t>
      </w:r>
      <w:r>
        <w:rPr>
          <w:rFonts w:ascii="仿宋_GB2312" w:hint="eastAsia"/>
          <w:color w:val="auto"/>
          <w:sz w:val="32"/>
          <w:szCs w:val="32"/>
          <w:highlight w:val="none"/>
          <w:lang w:eastAsia="zh-CN"/>
        </w:rPr>
        <w:t xml:space="preserve">大于等于</w:t>
      </w:r>
      <w:r>
        <w:rPr>
          <w:rFonts w:ascii="仿宋_GB2312" w:hint="eastAsia"/>
          <w:color w:val="auto"/>
          <w:sz w:val="32"/>
          <w:szCs w:val="32"/>
          <w:highlight w:val="none"/>
        </w:rPr>
        <w:t xml:space="preserve">95%，实际完成值是</w:t>
      </w:r>
      <w:r>
        <w:rPr>
          <w:rFonts w:ascii="仿宋_GB2312" w:hint="eastAsia"/>
          <w:color w:val="auto"/>
          <w:sz w:val="32"/>
          <w:szCs w:val="32"/>
          <w:highlight w:val="none"/>
          <w:lang w:eastAsia="zh-CN"/>
        </w:rPr>
        <w:t xml:space="preserve">等于</w:t>
      </w:r>
      <w:r>
        <w:rPr>
          <w:rFonts w:ascii="仿宋_GB2312" w:hint="eastAsia"/>
          <w:color w:val="auto"/>
          <w:sz w:val="32"/>
          <w:szCs w:val="32"/>
          <w:highlight w:val="none"/>
        </w:rPr>
        <w:t xml:space="preserve">95%，指标达到预期目标。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b/>
          <w:bCs/>
          <w:color w:val="auto"/>
          <w:sz w:val="32"/>
          <w:szCs w:val="32"/>
          <w:highlight w:val="none"/>
        </w:rPr>
      </w:pPr>
      <w:r>
        <w:rPr>
          <w:rFonts w:ascii="楷体" w:eastAsia="楷体" w:hAnsi="楷体"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仿宋_GB2312" w:hAnsi="楷体" w:hint="default"/>
          <w:color w:val="auto"/>
          <w:sz w:val="36"/>
          <w:szCs w:val="32"/>
          <w:highlight w:val="none"/>
          <w:lang w:val="en-US" w:eastAsia="zh-CN"/>
        </w:rPr>
      </w:pPr>
      <w:r>
        <w:rPr>
          <w:rFonts w:hint="eastAsia"/>
          <w:color w:val="auto"/>
          <w:sz w:val="32"/>
          <w:highlight w:val="none"/>
        </w:rPr>
        <w:t xml:space="preserve">偏差原因：</w:t>
      </w:r>
      <w:r>
        <w:rPr>
          <w:rFonts w:hint="eastAsia"/>
          <w:color w:val="auto"/>
          <w:sz w:val="32"/>
          <w:highlight w:val="none"/>
          <w:lang w:val="en-US" w:eastAsia="zh-CN"/>
        </w:rPr>
        <w:t xml:space="preserve">预算项目经费支出计划不够完善，第三方供货机构未提供相关支付资料，未能按时拨付项目资金，预算执行率偏低，未达到预期目标，需及时收集支出资料，提高部门预算执行率。</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eastAsia="仿宋_GB2312" w:hint="eastAsia"/>
          <w:color w:val="auto"/>
          <w:highlight w:val="none"/>
          <w:lang w:val="en-US" w:eastAsia="zh-CN"/>
        </w:rPr>
      </w:pPr>
      <w:r>
        <w:rPr>
          <w:rFonts w:hint="eastAsia"/>
          <w:color w:val="auto"/>
          <w:highlight w:val="none"/>
          <w:lang w:val="en-US" w:eastAsia="zh-CN"/>
        </w:rPr>
        <w:t xml:space="preserve">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p>
    <w:p>
      <w:pPr>
        <w:spacing w:line="560" w:lineRule="exac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shd w:val="clear" w:color="auto" w:fill="FFFFFF"/>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1.63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6</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shd w:val="clear" w:color="auto" w:fill="FFFFFF"/>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1.9</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shd w:val="clear" w:color="auto"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shd w:val="clear" w:color="000000" w:fill="FFFFFF"/>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shd w:val="clear" w:color="000000" w:fill="FFFFFF"/>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shd w:val="clear" w:color="auto" w:fill="FFFFFF"/>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shd w:val="clear" w:color="auto" w:fill="FFFFFF"/>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shd w:val="clear" w:color="auto" w:fill="FFFFFF"/>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lang w:val="en-US" w:eastAsia="zh-CN"/>
              </w:rPr>
              <w:t xml:space="preserve">89.26</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3"/>
      <w:numFmt w:val="decimal"/>
      <w:suff w:val="nothing"/>
      <w:lvlText w:val="%1．"/>
      <w:lvlJc w:val="left"/>
      <w:rPr>
        <w:rFonts w:hint="default"/>
        <w:b/>
        <w:bCs/>
        <w:color w:val="auto"/>
      </w:rPr>
    </w:lvl>
  </w:abstractNum>
  <w:abstractNum w:abstractNumId="3">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4"/>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C548BD7130BF45DD9DB6F6B3FE8ABBFB_13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9</TotalTime>
  <Pages>20</Pages>
  <Words>8690</Words>
  <Characters>9049</Characters>
  <Application>WPS Office_12.1.0.15120_F1E327BC-269C-435d-A152-05C5408002CA</Application>
  <DocSecurity>0</DocSecurity>
  <Lines>56</Lines>
  <Paragraphs>15</Paragraphs>
  <Company>P R C</Company>
  <CharactersWithSpaces>9059</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2025-09-05T07:55:32Z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C548BD7130BF45DD9DB6F6B3FE8ABBFB_13</vt:lpwstr>
  </property>
  <property fmtid="{D5CDD505-2E9C-101B-9397-08002B2CF9AE}" pid="4" name="KSOTemplateDocerSaveRecord">
    <vt:lpwstr>eyJoZGlkIjoiYzZkNzQ4ZWFiZmQ4NTRhOWRkZTk3YTMwMjlmMmZhYmUiLCJ1c2VySWQiOiI1NzgxMjU4NDIifQ_x003D__x003D_</vt:lpwstr>
  </property>
</Properties>
</file>