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阿图什市供销合作社联合社2024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承担全市供销社系统的改革、发展、协调、管理、监督等工作任务、制定全市供销社的发展战略、发展目标和规划，指导全市供销社建立，发展和完善农业社会服务体系</w:t>
      </w:r>
      <w:r>
        <w:rPr>
          <w:rFonts w:hint="eastAsia" w:ascii="仿宋_GB2312" w:hAnsi="仿宋_GB2312" w:eastAsia="仿宋_GB2312"/>
          <w:sz w:val="32"/>
          <w:lang w:val="en-US" w:eastAsia="zh-CN"/>
        </w:rPr>
        <w:t>,</w:t>
      </w:r>
      <w:r>
        <w:rPr>
          <w:rFonts w:ascii="仿宋_GB2312" w:hAnsi="仿宋_GB2312" w:eastAsia="仿宋_GB2312"/>
          <w:sz w:val="32"/>
        </w:rPr>
        <w:t>促进城乡物质交流</w:t>
      </w:r>
      <w:r>
        <w:rPr>
          <w:rFonts w:hint="eastAsia" w:ascii="仿宋_GB2312" w:hAnsi="仿宋_GB2312" w:eastAsia="仿宋_GB2312"/>
          <w:sz w:val="32"/>
          <w:lang w:val="en-US" w:eastAsia="zh-CN"/>
        </w:rPr>
        <w:t>,</w:t>
      </w:r>
      <w:r>
        <w:rPr>
          <w:rFonts w:ascii="仿宋_GB2312" w:hAnsi="仿宋_GB2312" w:eastAsia="仿宋_GB2312"/>
          <w:sz w:val="32"/>
        </w:rPr>
        <w:t>加快和推进农村现代流通服务体系建设。</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阿图什市供销合作社联合社2024年度，实有人数11人，其中：在职人员7人，增加0人；离休人员0人，增加0人；退休人员4人,增加0人。</w:t>
      </w:r>
    </w:p>
    <w:p>
      <w:pPr>
        <w:spacing w:line="580" w:lineRule="exact"/>
        <w:ind w:firstLine="640"/>
        <w:jc w:val="both"/>
      </w:pPr>
      <w:r>
        <w:rPr>
          <w:rFonts w:ascii="仿宋_GB2312" w:hAnsi="仿宋_GB2312" w:eastAsia="仿宋_GB2312"/>
          <w:sz w:val="32"/>
        </w:rPr>
        <w:t>阿图什市供销合作社联合社无下属预算单位，下设4个科室，分别是：办公室、财务室、合作指导科、经济建设科。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2024年度收入总计166.00万元，</w:t>
      </w:r>
      <w:r>
        <w:rPr>
          <w:rFonts w:ascii="仿宋_GB2312" w:hAnsi="仿宋_GB2312" w:eastAsia="仿宋_GB2312"/>
          <w:b w:val="0"/>
          <w:sz w:val="32"/>
        </w:rPr>
        <w:t>其中：本年收入合计135.73万元，使用非财政拨款结余（含专用结余）0.00万元，年初结转和结余30.28万元。</w:t>
      </w:r>
    </w:p>
    <w:p>
      <w:pPr>
        <w:spacing w:line="580" w:lineRule="exact"/>
        <w:ind w:firstLine="640"/>
        <w:jc w:val="both"/>
      </w:pPr>
      <w:r>
        <w:rPr>
          <w:rFonts w:ascii="仿宋_GB2312" w:hAnsi="仿宋_GB2312" w:eastAsia="仿宋_GB2312"/>
          <w:b/>
          <w:sz w:val="32"/>
        </w:rPr>
        <w:t>2024年度支出总计166.00万元，</w:t>
      </w:r>
      <w:r>
        <w:rPr>
          <w:rFonts w:ascii="仿宋_GB2312" w:hAnsi="仿宋_GB2312" w:eastAsia="仿宋_GB2312"/>
          <w:b w:val="0"/>
          <w:sz w:val="32"/>
        </w:rPr>
        <w:t>其中：本年支出合计147.56万元，结余分配0.00万元，年末结转和结余18.44万元。</w:t>
      </w:r>
    </w:p>
    <w:p>
      <w:pPr>
        <w:spacing w:line="580" w:lineRule="exact"/>
        <w:ind w:firstLine="640"/>
        <w:jc w:val="both"/>
      </w:pPr>
      <w:r>
        <w:rPr>
          <w:rFonts w:ascii="仿宋_GB2312" w:hAnsi="仿宋_GB2312" w:eastAsia="仿宋_GB2312"/>
          <w:b w:val="0"/>
          <w:sz w:val="32"/>
        </w:rPr>
        <w:t>收入支出总体与上年相比，增加32.06万元，增长23.94%，主要原因是：本年增加收回棉麻公司欠款资金。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本年收入135.73万元，</w:t>
      </w:r>
      <w:r>
        <w:rPr>
          <w:rFonts w:ascii="仿宋_GB2312" w:hAnsi="仿宋_GB2312" w:eastAsia="仿宋_GB2312"/>
          <w:b w:val="0"/>
          <w:sz w:val="32"/>
        </w:rPr>
        <w:t>其中：财政拨款收入135.73万元，占100.00%；上级补助收入0.00万元，占0.00%；事业收入0.00万元，占0.00%；经营收入0.00万元，占0.00%；附属单位上缴收入0.00万元，占0.00%；其他收入0.00万元，占0.00%。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本年支出147.56万元，</w:t>
      </w:r>
      <w:r>
        <w:rPr>
          <w:rFonts w:ascii="仿宋_GB2312" w:hAnsi="仿宋_GB2312" w:eastAsia="仿宋_GB2312"/>
          <w:b w:val="0"/>
          <w:sz w:val="32"/>
        </w:rPr>
        <w:t>其中：基本支出147.56万元，占100.00%；项目支出0.00万元，占0.00%；上缴上级支出0.00万元，占0.00%；经营支出0.00万元，占0.00%；对附属单位补助支出0.00万元，占0.00%。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2024年度财政拨款收入总计135.73万元，</w:t>
      </w:r>
      <w:r>
        <w:rPr>
          <w:rFonts w:ascii="仿宋_GB2312" w:hAnsi="仿宋_GB2312" w:eastAsia="仿宋_GB2312"/>
          <w:b w:val="0"/>
          <w:sz w:val="32"/>
        </w:rPr>
        <w:t>其中：年初财政拨款结转和结余0.00万元，本年财政拨款收入135.73万元。</w:t>
      </w:r>
      <w:r>
        <w:rPr>
          <w:rFonts w:ascii="仿宋_GB2312" w:hAnsi="仿宋_GB2312" w:eastAsia="仿宋_GB2312"/>
          <w:b/>
          <w:sz w:val="32"/>
        </w:rPr>
        <w:t>财政拨款支出总计135.73万元，</w:t>
      </w:r>
      <w:r>
        <w:rPr>
          <w:rFonts w:ascii="仿宋_GB2312" w:hAnsi="仿宋_GB2312" w:eastAsia="仿宋_GB2312"/>
          <w:b w:val="0"/>
          <w:sz w:val="32"/>
        </w:rPr>
        <w:t>其中：年末财政拨款结转和结余0.00万元，本年财政拨款支出135.73万元。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增加2.79万元，增长2.10%，主要原因是：本年在职人员工资调增，社保、公积金基数调增，人员经费增加。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年初预算数170.90万元，决算数135.73万元，预决算差异率-20.58%，主要原因是：年中调减阿图什市供销社办公楼外墙保温材料更换项目经费，导致预决算存在差异。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2024年度一般公共预算财政拨款支出135.73万元，</w:t>
      </w:r>
      <w:r>
        <w:rPr>
          <w:rFonts w:ascii="仿宋_GB2312" w:hAnsi="仿宋_GB2312" w:eastAsia="仿宋_GB2312"/>
          <w:b w:val="0"/>
          <w:sz w:val="32"/>
        </w:rPr>
        <w:t>占本年支出合计的91.98%。</w:t>
      </w:r>
      <w:r>
        <w:rPr>
          <w:rFonts w:ascii="仿宋_GB2312" w:hAnsi="仿宋_GB2312" w:eastAsia="仿宋_GB2312"/>
          <w:b/>
          <w:sz w:val="32"/>
        </w:rPr>
        <w:t>与上年相比，</w:t>
      </w:r>
      <w:r>
        <w:rPr>
          <w:rFonts w:ascii="仿宋_GB2312" w:hAnsi="仿宋_GB2312" w:eastAsia="仿宋_GB2312"/>
          <w:b w:val="0"/>
          <w:sz w:val="32"/>
        </w:rPr>
        <w:t>增加2.79万元，增长2.10%，主要原因是：本年在职人员工资调增，社保、公积金基数调增，人员经费增加。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年初预算数170.90万元，决算数135.73万元，预决算差异率-20.58%，主要原因是：年中调减阿图什市供销社办公楼外墙保温材料更换项目经费，导致预决算存在差异。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1.社会保障和就业支出(类)18.25万元,占13.45%。</w:t>
      </w:r>
    </w:p>
    <w:p>
      <w:pPr>
        <w:spacing w:line="580" w:lineRule="exact"/>
        <w:ind w:firstLine="640"/>
        <w:jc w:val="both"/>
      </w:pPr>
      <w:r>
        <w:rPr>
          <w:rFonts w:ascii="仿宋_GB2312" w:hAnsi="仿宋_GB2312" w:eastAsia="仿宋_GB2312"/>
          <w:b w:val="0"/>
          <w:sz w:val="32"/>
        </w:rPr>
        <w:t>2.卫生健康支出(类)3.82万元,占2.81%。</w:t>
      </w:r>
    </w:p>
    <w:p>
      <w:pPr>
        <w:spacing w:line="580" w:lineRule="exact"/>
        <w:ind w:firstLine="640"/>
        <w:jc w:val="both"/>
      </w:pPr>
      <w:r>
        <w:rPr>
          <w:rFonts w:ascii="仿宋_GB2312" w:hAnsi="仿宋_GB2312" w:eastAsia="仿宋_GB2312"/>
          <w:b w:val="0"/>
          <w:sz w:val="32"/>
        </w:rPr>
        <w:t>3.商业服务业等支出(类)103.37万元,占76.16%。</w:t>
      </w:r>
    </w:p>
    <w:p>
      <w:pPr>
        <w:spacing w:line="580" w:lineRule="exact"/>
        <w:ind w:firstLine="640"/>
        <w:jc w:val="both"/>
      </w:pPr>
      <w:r>
        <w:rPr>
          <w:rFonts w:ascii="仿宋_GB2312" w:hAnsi="仿宋_GB2312" w:eastAsia="仿宋_GB2312"/>
          <w:b w:val="0"/>
          <w:sz w:val="32"/>
        </w:rPr>
        <w:t>4.住房保障支出(类)10.27万元,占7.57%。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1.一般公共服务支出(类)组织事务(款)其他组织事务支出(项):支出决算数为0.00万元，比上年决算减少2.05万元，下降100.00%,主要原因是：本年无采购物资支出。</w:t>
      </w:r>
    </w:p>
    <w:p>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2.社会保障和就业支出(类)行政事业单位养老支出(款)事业单位离退休(项):支出决算数为5.49万元，比上年决算增加0.84万元，增长18.06%,主要原因是：本年增加退休人员基础绩效奖，退休费支出增加。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12.77万元，比上年决算增加1.45万元，增长12.81%,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4.卫生健康支出(类)行政事业单位医疗(款)事业单位医疗(项):支出决算数为3.82万元，比上年决算增加0.50万元，增长15.06%,主要原因是：本年在职人员工资基数调增，医疗缴费基数上涨，相应支出增加。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5.商业服务业等支出(类)商业流通事务(款)事业运行(项):支出决算数为103.37万元，比上年决算增加1.07万元，增长1.05%,主要原因是：本年在职人员工资调增，导致相关人员经费较上年有所增加。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6.住房保障支出(类)住房改革支出(款)住房公积金(项):支出决算数为10.27万元，比上年决算增加0.96万元，增长10.31%,主要原因是：本年在职人员工资基数调增，公积金缴费基数上涨，相应支出增加。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2024年度一般公共预算财政拨款基本支出135.73万元，其中：</w:t>
      </w:r>
      <w:r>
        <w:rPr>
          <w:rFonts w:ascii="仿宋_GB2312" w:hAnsi="仿宋_GB2312" w:eastAsia="仿宋_GB2312"/>
          <w:b/>
          <w:sz w:val="32"/>
        </w:rPr>
        <w:t>人员经费132.07万元，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w:t>
      </w:r>
    </w:p>
    <w:p>
      <w:pPr>
        <w:spacing w:line="580" w:lineRule="exact"/>
        <w:ind w:firstLine="640"/>
        <w:jc w:val="both"/>
      </w:pPr>
      <w:r>
        <w:rPr>
          <w:rFonts w:ascii="仿宋_GB2312" w:hAnsi="仿宋_GB2312" w:eastAsia="仿宋_GB2312"/>
          <w:b/>
          <w:sz w:val="32"/>
        </w:rPr>
        <w:t>公用经费3.65万元，</w:t>
      </w:r>
      <w:r>
        <w:rPr>
          <w:rFonts w:ascii="仿宋_GB2312" w:hAnsi="仿宋_GB2312" w:eastAsia="仿宋_GB2312"/>
          <w:b w:val="0"/>
          <w:sz w:val="32"/>
        </w:rPr>
        <w:t>包括：办公费、邮电费、取暖费、委托业务费、其他交通费用。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2024年度阿图什市供销合作社联合社（事业单位）公用经费支出3.65万元，比上年减少7.37万元，下降66.88%，主要原因是：严控经费支出，厉行节约，减少经费支出。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2024年度政府采购支出总额10.86万元，其中：政府采购货物支出3.66万元、政府采购工程支出0.00万元、政府采购服务支出7.20万元。</w:t>
      </w:r>
    </w:p>
    <w:p>
      <w:pPr>
        <w:spacing w:line="580" w:lineRule="exact"/>
        <w:ind w:firstLine="640"/>
        <w:jc w:val="both"/>
      </w:pPr>
      <w:r>
        <w:rPr>
          <w:rFonts w:ascii="仿宋_GB2312" w:hAnsi="仿宋_GB2312" w:eastAsia="仿宋_GB2312"/>
          <w:b w:val="0"/>
          <w:sz w:val="32"/>
        </w:rPr>
        <w:t>授予中小企业合同金额10.51万元，占政府采购支出总额的96.78%，其中：授予小微企业合同金额9.92万元，占政府采购支出总额的91.34%。</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166.00万元，实际执行总额147.56万元；预算绩效评价项目2个，全年预算数37.50万元，全年执行数2.03万元。预算绩效管理取得的成效：一是收支管理是一个单位财务管理工作的重中之重，加强收支管理，绩效管理，既是缓解资金供需矛盾，发展事业的需要，也是贯彻执行勤俭办一切事业方针的体现。二是为了加强这一管理，今后要</w:t>
      </w:r>
      <w:r>
        <w:rPr>
          <w:rFonts w:hint="eastAsia" w:ascii="仿宋_GB2312" w:hAnsi="仿宋_GB2312" w:eastAsia="仿宋_GB2312"/>
          <w:b w:val="0"/>
          <w:sz w:val="32"/>
          <w:lang w:eastAsia="zh-CN"/>
        </w:rPr>
        <w:t>建立健全</w:t>
      </w:r>
      <w:r>
        <w:rPr>
          <w:rFonts w:ascii="仿宋_GB2312" w:hAnsi="仿宋_GB2312" w:eastAsia="仿宋_GB2312"/>
          <w:b w:val="0"/>
          <w:sz w:val="32"/>
        </w:rPr>
        <w:t>各项财务制度，这样财务日常工作就可以做到有法可依，有章可循，实现管理的规范化、制度化。三是对一切开支严格按财务制度办理，极大地提高了资金的使用效益，达到了节约支出的目的。四是单位进一步提高预算绩效管理认识，强化以“绩效为中心、对支出结果负责、对社会公众负责”的理念，在绩效目标编制方面，编制单位整体绩效目标和项目绩效目标。加强预算绩效动态监控管理，及时跟踪项目进度，对项目实施中存在的具体问题采取纠偏措施。发现的问题及原因：一是本级财政拨款收入虽然占总收入比重较高，但对其他收入依赖度高，自身造血功能严重不足。二是刚性增支因素较多，比如工作经费、办公经费等，都需要有力的资金保障。基于这些因素，使</w:t>
      </w:r>
      <w:r>
        <w:rPr>
          <w:rFonts w:hint="eastAsia" w:ascii="仿宋_GB2312" w:hAnsi="仿宋_GB2312" w:eastAsia="仿宋_GB2312"/>
          <w:b w:val="0"/>
          <w:sz w:val="32"/>
          <w:lang w:eastAsia="zh-CN"/>
        </w:rPr>
        <w:t>本单位</w:t>
      </w:r>
      <w:r>
        <w:rPr>
          <w:rFonts w:ascii="仿宋_GB2312" w:hAnsi="仿宋_GB2312" w:eastAsia="仿宋_GB2312"/>
          <w:b w:val="0"/>
          <w:sz w:val="32"/>
        </w:rPr>
        <w:t>仍然存在资金短缺、工作开展艰难的局面，需要对专业知识的不断更新，专业水平的不断提高，才能满意今后的财务工作。下一步改进措施：一是加强新行政单位会计制度和新预算法学习培训，规范账务处理，加强新《中华人民共和国预算法</w:t>
      </w:r>
      <w:r>
        <w:rPr>
          <w:rFonts w:hint="eastAsia" w:ascii="仿宋_GB2312" w:hAnsi="仿宋_GB2312" w:eastAsia="仿宋_GB2312"/>
          <w:b w:val="0"/>
          <w:sz w:val="32"/>
          <w:lang w:eastAsia="zh-CN"/>
        </w:rPr>
        <w:t>》《</w:t>
      </w:r>
      <w:r>
        <w:rPr>
          <w:rFonts w:ascii="仿宋_GB2312" w:hAnsi="仿宋_GB2312" w:eastAsia="仿宋_GB2312"/>
          <w:b w:val="0"/>
          <w:sz w:val="32"/>
        </w:rPr>
        <w:t>行政单位会计制度</w:t>
      </w:r>
      <w:r>
        <w:rPr>
          <w:rFonts w:hint="eastAsia" w:ascii="仿宋_GB2312" w:hAnsi="仿宋_GB2312" w:eastAsia="仿宋_GB2312"/>
          <w:b w:val="0"/>
          <w:sz w:val="32"/>
          <w:lang w:eastAsia="zh-CN"/>
        </w:rPr>
        <w:t>》《中华人民共和国会计法》</w:t>
      </w:r>
      <w:bookmarkStart w:id="0" w:name="_GoBack"/>
      <w:bookmarkEnd w:id="0"/>
      <w:r>
        <w:rPr>
          <w:rFonts w:ascii="仿宋_GB2312" w:hAnsi="仿宋_GB2312" w:eastAsia="仿宋_GB2312"/>
          <w:b w:val="0"/>
          <w:sz w:val="32"/>
        </w:rPr>
        <w:t>等学习培训,规范单位预算收支核算。制定和完善基本支出、项目支出等各项支出标准,严格按项目和进度执行预算,增强预算的约束力和严肃性；落实预算执行分析,及时了解预算执行差异,合理调整、纠正预算执行偏差，切实提高单位预算收支管理水平。尽可能地做到决算与预算相衔接。二是完善管理制度,进一步加强资产管理，严格按照《固定资产管理办法》的规定加强固定资产管理,及时登记、更新台账，加强资产卡片管理,对各类实物资产进行全面盘点,确保账账、账实相符。三是加强学习如何科学合理制定绩效目标及考核体系，充分发挥绩效工作效用。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926"/>
        <w:gridCol w:w="1443"/>
        <w:gridCol w:w="946"/>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阿图什市供销合作社联合社</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9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4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4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4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170.89</w:t>
            </w:r>
          </w:p>
        </w:tc>
        <w:tc>
          <w:tcPr>
            <w:tcW w:w="94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147.56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8.9</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4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4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4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170.89</w:t>
            </w:r>
          </w:p>
        </w:tc>
        <w:tc>
          <w:tcPr>
            <w:tcW w:w="94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147.56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4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4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承担全市供销社系统的改革、发展、协调、管理、监督等工作任务，制定全区供销社的发展战略、发展目标和规划，指导全区供销社建立、发展和完善农业社会服务体系，促进城乡物资交流，加快和推进农村现代化流通服务体系建设。 </w:t>
            </w:r>
            <w:r>
              <w:rPr>
                <w:rFonts w:ascii="宋体" w:hAnsi="宋体" w:eastAsia="宋体"/>
                <w:sz w:val="16"/>
              </w:rPr>
              <w:br w:type="textWrapping"/>
            </w:r>
            <w:r>
              <w:rPr>
                <w:rFonts w:ascii="宋体" w:hAnsi="宋体" w:eastAsia="宋体"/>
                <w:sz w:val="16"/>
              </w:rPr>
              <w:t xml:space="preserve">机构设置及人员配置：无下属预算单位，下设4个科室，编制数7，实有人数11人，在职7人，退休4人。 </w:t>
            </w:r>
            <w:r>
              <w:rPr>
                <w:rFonts w:ascii="宋体" w:hAnsi="宋体" w:eastAsia="宋体"/>
                <w:sz w:val="16"/>
              </w:rPr>
              <w:br w:type="textWrapping"/>
            </w:r>
            <w:r>
              <w:rPr>
                <w:rFonts w:ascii="宋体" w:hAnsi="宋体" w:eastAsia="宋体"/>
                <w:sz w:val="16"/>
              </w:rPr>
              <w:t>中长期规划：1</w:t>
            </w:r>
            <w:r>
              <w:rPr>
                <w:rFonts w:hint="eastAsia" w:ascii="宋体" w:hAnsi="宋体"/>
                <w:sz w:val="16"/>
                <w:lang w:eastAsia="zh-CN"/>
              </w:rPr>
              <w:t>.</w:t>
            </w:r>
            <w:r>
              <w:rPr>
                <w:rFonts w:ascii="宋体" w:hAnsi="宋体" w:eastAsia="宋体"/>
                <w:sz w:val="16"/>
              </w:rPr>
              <w:t>强化基层组织建设，加大基层社建设。2.是多举措改造升级基层社。3</w:t>
            </w:r>
            <w:r>
              <w:rPr>
                <w:rFonts w:hint="eastAsia" w:ascii="宋体" w:hAnsi="宋体"/>
                <w:sz w:val="16"/>
                <w:lang w:eastAsia="zh-CN"/>
              </w:rPr>
              <w:t>.</w:t>
            </w:r>
            <w:r>
              <w:rPr>
                <w:rFonts w:ascii="宋体" w:hAnsi="宋体" w:eastAsia="宋体"/>
                <w:sz w:val="16"/>
              </w:rPr>
              <w:t>培育壮大基层标杆社。4</w:t>
            </w:r>
            <w:r>
              <w:rPr>
                <w:rFonts w:hint="eastAsia" w:ascii="宋体" w:hAnsi="宋体"/>
                <w:sz w:val="16"/>
                <w:lang w:eastAsia="zh-CN"/>
              </w:rPr>
              <w:t>.</w:t>
            </w:r>
            <w:r>
              <w:rPr>
                <w:rFonts w:ascii="宋体" w:hAnsi="宋体" w:eastAsia="宋体"/>
                <w:sz w:val="16"/>
              </w:rPr>
              <w:t>大力开展示范社建设。5</w:t>
            </w:r>
            <w:r>
              <w:rPr>
                <w:rFonts w:hint="eastAsia" w:ascii="宋体" w:hAnsi="宋体"/>
                <w:sz w:val="16"/>
                <w:lang w:eastAsia="zh-CN"/>
              </w:rPr>
              <w:t>.</w:t>
            </w:r>
            <w:r>
              <w:rPr>
                <w:rFonts w:ascii="宋体" w:hAnsi="宋体" w:eastAsia="宋体"/>
                <w:sz w:val="16"/>
              </w:rPr>
              <w:t xml:space="preserve">进一步推进农民专业合作社发展。 </w:t>
            </w:r>
            <w:r>
              <w:rPr>
                <w:rFonts w:ascii="宋体" w:hAnsi="宋体" w:eastAsia="宋体"/>
                <w:sz w:val="16"/>
              </w:rPr>
              <w:br w:type="textWrapping"/>
            </w:r>
            <w:r>
              <w:rPr>
                <w:rFonts w:ascii="宋体" w:hAnsi="宋体" w:eastAsia="宋体"/>
                <w:sz w:val="16"/>
              </w:rPr>
              <w:t xml:space="preserve">   保障部门在职6人，退休4人的各项工资福利补助正常发放及部门正常运转，保证单位工作正常运行，确保安全生产检查工作顺利实施。</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147.56万元，用于保障部门在职6人，退休4人的工资福利、各项补助正常发放及部门单位正常运转，单位预算项目根据年初计划均已完成，保证单位工作正常运行，确保安全生产检查工作顺利实施，年度任务中完成建立农服务中心7个，成立为农服务站点23个，完成社会化无人机植保服务10000亩，成立农资联盟7家等目标。</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4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4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4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建立农服务中心</w:t>
            </w:r>
          </w:p>
        </w:tc>
        <w:tc>
          <w:tcPr>
            <w:tcW w:w="94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4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成立为农服务站点</w:t>
            </w:r>
          </w:p>
        </w:tc>
        <w:tc>
          <w:tcPr>
            <w:tcW w:w="94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4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完成社会化无人机植保服务</w:t>
            </w:r>
          </w:p>
        </w:tc>
        <w:tc>
          <w:tcPr>
            <w:tcW w:w="94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4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成立农资联盟</w:t>
            </w:r>
          </w:p>
        </w:tc>
        <w:tc>
          <w:tcPr>
            <w:tcW w:w="94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44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推进农村现代化流通服务体系建设工作覆盖率</w:t>
            </w:r>
          </w:p>
        </w:tc>
        <w:tc>
          <w:tcPr>
            <w:tcW w:w="94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2024年办公经费及业务活动费项目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阿图什市供销合作社联合社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阿图什市供销合作社联合社</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7.5万元，用于采购其他办公用品10批次2600元/批、采购电脑耗材10批次500元/批、采购广告宣传服务10批次2400元/批、采购其他农副食品5批次2000元/批，对单位办公设备进行维修维护10次1000元/次，共计7.5万元。保证单位工作正常运行，提高工作人员办公效率，完善组织配套设施设备，不断提高服务群众的能力。</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2.0287万元，用于采购办公用品及设备数量10批，采购广告宣传服务10批，采购其他农副食品5批；通过实施本项目保证单位工作正常运行，提高工作人员办公效率，完善组织配套设施设备，不断提高服务群众的能力。</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采购办公用品及设备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采购广告宣传服务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采购其他农副食品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单位办公设备进行维修维护次数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原因：本年度办公设备未产生故障，因此该指标未完成；措施：下一年度做好计划及项目管理，减少实施过程中的偏差。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验收合格率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采购办公用品及设备成本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采购广告宣传服务费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采购其他农副食品成本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单位办公设备进行维修维护成本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原因：本年度办公设备未产生故障，因此该指标未完成；措施：下一年度做好计划及项目管理，减少实施过程中的偏差。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提高工作人员办公效率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63.68分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2024年单位办公楼外墙保温材料更换项目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阿图什市供销合作社联合社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阿图什市供销合作社联合社</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根据阿图什市消防大队通知要求，</w:t>
            </w:r>
            <w:r>
              <w:rPr>
                <w:rFonts w:hint="eastAsia" w:ascii="宋体" w:hAnsi="宋体"/>
                <w:sz w:val="16"/>
                <w:lang w:eastAsia="zh-CN"/>
              </w:rPr>
              <w:t>本单位</w:t>
            </w:r>
            <w:r>
              <w:rPr>
                <w:rFonts w:ascii="宋体" w:hAnsi="宋体" w:eastAsia="宋体"/>
                <w:sz w:val="16"/>
              </w:rPr>
              <w:t>外墙保温材料不符合消防安全要求需更换外墙保温材料，项目资金30万元，其中：财政资金30万元，其他资金0万元。对单位办公设备进行维修维护。保证单位工作正常运行，提高工作人员办公效率，完善组织配套设施设备，不断提高服务群众的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本项目已完成单位换外墙保温材料面积5000平方米，维修维护层数4层；通过实施本项目保证单位工作正常运行，提高工作人员办公效率，完善组织配套设施设备，不断提高服务群众的能力。</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单位换外墙保温材料面积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维护维修层数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提高工作人员办公效率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55E02EB-D384-4DB6-9D8B-BC1E8AD9B4F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D26D7AAC-3663-49C4-881F-679C76C4FE28}"/>
  </w:font>
  <w:font w:name="仿宋_GB2312">
    <w:panose1 w:val="02010609030101010101"/>
    <w:charset w:val="86"/>
    <w:family w:val="modern"/>
    <w:pitch w:val="default"/>
    <w:sig w:usb0="00000001" w:usb1="080E0000" w:usb2="00000000" w:usb3="00000000" w:csb0="00040000" w:csb1="00000000"/>
    <w:embedRegular r:id="rId3" w:fontKey="{90F29F99-96FF-4DAC-B66F-D4960A26B8D2}"/>
  </w:font>
  <w:font w:name="楷体_GB2312">
    <w:panose1 w:val="02010609030101010101"/>
    <w:charset w:val="86"/>
    <w:family w:val="auto"/>
    <w:pitch w:val="default"/>
    <w:sig w:usb0="00000001" w:usb1="080E0000" w:usb2="00000000" w:usb3="00000000" w:csb0="00040000" w:csb1="00000000"/>
    <w:embedRegular r:id="rId4" w:fontKey="{08A88112-4800-488F-90C9-64A98B9E869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994D8B"/>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82274C2"/>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130409"/>
    <w:rsid w:val="4B4C0111"/>
    <w:rsid w:val="4BB23021"/>
    <w:rsid w:val="4F3F074E"/>
    <w:rsid w:val="501E59C1"/>
    <w:rsid w:val="50DB5F45"/>
    <w:rsid w:val="52F92565"/>
    <w:rsid w:val="543D17CB"/>
    <w:rsid w:val="55DA564E"/>
    <w:rsid w:val="56E07045"/>
    <w:rsid w:val="583059FA"/>
    <w:rsid w:val="587E6212"/>
    <w:rsid w:val="5AFC6609"/>
    <w:rsid w:val="5FA17648"/>
    <w:rsid w:val="5FD320BD"/>
    <w:rsid w:val="60DE4D57"/>
    <w:rsid w:val="613409CB"/>
    <w:rsid w:val="61A46A97"/>
    <w:rsid w:val="62DD7D21"/>
    <w:rsid w:val="630951DF"/>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ADB18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4605</Words>
  <Characters>5220</Characters>
  <Lines>0</Lines>
  <Paragraphs>0</Paragraphs>
  <TotalTime>7</TotalTime>
  <ScaleCrop>false</ScaleCrop>
  <LinksUpToDate>false</LinksUpToDate>
  <CharactersWithSpaces>5228</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2025-09-18T05:07:04Z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