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阿图什市2024年高素质农民培育项目</w:t>
      </w: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项目名称：阿图什市2024年高素质农民培育项目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w:t>
      </w:r>
      <w:r>
        <w:rPr>
          <w:rFonts w:hint="eastAsia" w:ascii="黑体" w:hAnsi="黑体" w:eastAsia="黑体" w:cs="仿宋_GB2312"/>
          <w:color w:val="auto"/>
          <w:kern w:val="0"/>
          <w:sz w:val="32"/>
          <w:szCs w:val="32"/>
          <w:highlight w:val="none"/>
          <w:lang w:eastAsia="zh-CN"/>
        </w:rPr>
        <w:t>新疆</w:t>
      </w:r>
      <w:r>
        <w:rPr>
          <w:rFonts w:hint="eastAsia" w:ascii="黑体" w:hAnsi="黑体" w:eastAsia="黑体" w:cs="仿宋_GB2312"/>
          <w:color w:val="auto"/>
          <w:kern w:val="0"/>
          <w:sz w:val="32"/>
          <w:szCs w:val="32"/>
          <w:highlight w:val="none"/>
        </w:rPr>
        <w:t>农业广播电视学校阿图什市分校</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主管部门：阿图什市农业农村局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23</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阿图什市2024年高素质农民培育项目</w:t>
      </w: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根据《关于提前下达2024年中央农业经营主体能力提升资金预算的通知》克财农【2023】28号文件</w:t>
      </w:r>
      <w:r>
        <w:rPr>
          <w:rFonts w:hint="eastAsia" w:ascii="仿宋_GB2312" w:hAnsi="仿宋" w:cs="宋体"/>
          <w:color w:val="auto"/>
          <w:sz w:val="32"/>
          <w:szCs w:val="32"/>
          <w:highlight w:val="none"/>
          <w:lang w:val="en-US" w:eastAsia="zh-CN"/>
        </w:rPr>
        <w:t>的资金支持及政策要求</w:t>
      </w:r>
      <w:r>
        <w:rPr>
          <w:rFonts w:hint="eastAsia" w:ascii="仿宋_GB2312" w:hAnsi="仿宋" w:cs="宋体"/>
          <w:color w:val="auto"/>
          <w:sz w:val="32"/>
          <w:szCs w:val="32"/>
          <w:highlight w:val="none"/>
        </w:rPr>
        <w:t>，大力培养高素质农民队伍，为农业现代化发展提供人才支撑。</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阿图什市在农业现代化发展中，通过现代节水灌溉、无人机播种、北斗卫星导航系统等技术应用，以及发展戈壁设施农业、特色林果业等，对具备现代农业技术和经营管理能力的高素质农民需求迫切。</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阿图什市部分农民在农业生产中可能存在技术水平有限、经营管理能力不足等问题，难以适应农业现代化和产业发展的新要求，通过培育项目可提升农民的现代农业理念、文化科技素质和生产经营管理能力。</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提前下达2024年中央农业经营主体能力提升资金预算的通知》克财农【2023】28号文件，本项目下达资金90万元，用于年满16岁，正在从事或者有意愿从事农业生产经营服务的务农农民、返乡入乡创业创新者，乡村</w:t>
      </w:r>
      <w:r>
        <w:rPr>
          <w:rFonts w:hint="eastAsia" w:ascii="仿宋_GB2312" w:hAnsi="仿宋_GB2312" w:cs="仿宋_GB2312"/>
          <w:color w:val="auto"/>
          <w:sz w:val="32"/>
          <w:szCs w:val="30"/>
          <w:highlight w:val="none"/>
          <w:lang w:eastAsia="zh-CN"/>
        </w:rPr>
        <w:t>整治</w:t>
      </w:r>
      <w:r>
        <w:rPr>
          <w:rFonts w:hint="eastAsia" w:ascii="仿宋_GB2312" w:hAnsi="仿宋_GB2312" w:cs="仿宋_GB2312"/>
          <w:color w:val="auto"/>
          <w:sz w:val="32"/>
          <w:szCs w:val="30"/>
          <w:highlight w:val="none"/>
        </w:rPr>
        <w:t>及社会事业服务等人员开展高素质农民培育工作。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lang w:eastAsia="zh-CN"/>
        </w:rPr>
      </w:pPr>
      <w:r>
        <w:rPr>
          <w:rFonts w:hint="eastAsia" w:ascii="仿宋_GB2312" w:hAnsi="仿宋_GB2312" w:cs="仿宋_GB2312"/>
          <w:bCs/>
          <w:color w:val="auto"/>
          <w:sz w:val="32"/>
          <w:szCs w:val="30"/>
          <w:highlight w:val="none"/>
        </w:rPr>
        <w:t>实施主体：本项目的主管部门为阿图什市农业农村局,实施单位为</w:t>
      </w:r>
      <w:r>
        <w:rPr>
          <w:rFonts w:hint="eastAsia" w:ascii="仿宋_GB2312" w:hAnsi="仿宋_GB2312" w:cs="仿宋_GB2312"/>
          <w:bCs/>
          <w:color w:val="auto"/>
          <w:sz w:val="32"/>
          <w:szCs w:val="30"/>
          <w:highlight w:val="none"/>
          <w:lang w:eastAsia="zh-CN"/>
        </w:rPr>
        <w:t>新疆</w:t>
      </w:r>
      <w:r>
        <w:rPr>
          <w:rFonts w:hint="eastAsia" w:ascii="仿宋_GB2312" w:hAnsi="仿宋_GB2312" w:cs="仿宋_GB2312"/>
          <w:bCs/>
          <w:color w:val="auto"/>
          <w:sz w:val="32"/>
          <w:szCs w:val="30"/>
          <w:highlight w:val="none"/>
        </w:rPr>
        <w:t>农业广播电视学校阿图什市分校，主要职责</w:t>
      </w:r>
      <w:r>
        <w:rPr>
          <w:rFonts w:hint="eastAsia" w:ascii="仿宋_GB2312" w:hAnsi="仿宋_GB2312" w:cs="仿宋_GB2312"/>
          <w:bCs/>
          <w:color w:val="auto"/>
          <w:sz w:val="32"/>
          <w:szCs w:val="30"/>
          <w:highlight w:val="none"/>
          <w:lang w:eastAsia="zh-CN"/>
        </w:rPr>
        <w:t>：继续面向高素质农民培育，认真贯彻执行科教兴农战略，充分发挥新疆农业广播电视学校阿图什市分校在农民科技教育中的积极作用，培训高素质农民，服务新农村。坚持稳定中层，向两头延伸，工作中心下沉的办学思路。以农业增收、农民增收为己任，认真搞好农民科技培训及高素质农民培训专业培训教育，开展学用结合促进农业技术转化为生产力。</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10</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本项目的实施符合《关于提前下达2024年中央农业经营主体能力提升资金预算的通知》克财农【2023】28号文件的资金支持及</w:t>
      </w:r>
      <w:r>
        <w:rPr>
          <w:rFonts w:hint="eastAsia" w:ascii="仿宋_GB2312" w:hAnsi="仿宋_GB2312" w:cs="仿宋_GB2312"/>
          <w:bCs/>
          <w:color w:val="auto"/>
          <w:sz w:val="32"/>
          <w:szCs w:val="30"/>
          <w:highlight w:val="none"/>
          <w:lang w:val="en-US" w:eastAsia="zh-CN"/>
        </w:rPr>
        <w:t>相关</w:t>
      </w:r>
      <w:r>
        <w:rPr>
          <w:rFonts w:hint="eastAsia" w:ascii="仿宋_GB2312" w:hAnsi="仿宋_GB2312" w:cs="仿宋_GB2312"/>
          <w:bCs/>
          <w:color w:val="auto"/>
          <w:sz w:val="32"/>
          <w:szCs w:val="30"/>
          <w:highlight w:val="none"/>
        </w:rPr>
        <w:t>政策要求，实际</w:t>
      </w:r>
      <w:r>
        <w:rPr>
          <w:rFonts w:hint="eastAsia" w:ascii="仿宋_GB2312" w:hAnsi="仿宋_GB2312" w:cs="仿宋_GB2312"/>
          <w:bCs/>
          <w:color w:val="auto"/>
          <w:sz w:val="32"/>
          <w:szCs w:val="30"/>
          <w:highlight w:val="none"/>
          <w:lang w:val="en-US" w:eastAsia="zh-CN"/>
        </w:rPr>
        <w:t>推动及培育新型农业经营主体和社会化服务组织带头人员100人，高素质女农民人数50人，技能服务培训人数45人，有效</w:t>
      </w:r>
      <w:r>
        <w:rPr>
          <w:rFonts w:hint="eastAsia" w:ascii="仿宋_GB2312" w:hAnsi="仿宋_GB2312" w:cs="仿宋_GB2312"/>
          <w:bCs/>
          <w:color w:val="auto"/>
          <w:sz w:val="32"/>
          <w:szCs w:val="30"/>
          <w:highlight w:val="none"/>
        </w:rPr>
        <w:t>提升</w:t>
      </w:r>
      <w:r>
        <w:rPr>
          <w:rFonts w:hint="eastAsia" w:ascii="仿宋_GB2312" w:hAnsi="仿宋_GB2312" w:cs="仿宋_GB2312"/>
          <w:bCs/>
          <w:color w:val="auto"/>
          <w:sz w:val="32"/>
          <w:szCs w:val="30"/>
          <w:highlight w:val="none"/>
          <w:lang w:val="en-US" w:eastAsia="zh-CN"/>
        </w:rPr>
        <w:t>当地</w:t>
      </w:r>
      <w:r>
        <w:rPr>
          <w:rFonts w:hint="eastAsia" w:ascii="仿宋_GB2312" w:hAnsi="仿宋_GB2312" w:cs="仿宋_GB2312"/>
          <w:bCs/>
          <w:color w:val="auto"/>
          <w:sz w:val="32"/>
          <w:szCs w:val="30"/>
          <w:highlight w:val="none"/>
        </w:rPr>
        <w:t>农民的现代农业理念、文化科技素质和生产经营管理能力。</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bCs w:val="0"/>
          <w:color w:val="auto"/>
          <w:spacing w:val="-4"/>
          <w:sz w:val="32"/>
          <w:szCs w:val="30"/>
          <w:highlight w:val="none"/>
        </w:rPr>
      </w:pPr>
      <w:r>
        <w:rPr>
          <w:rStyle w:val="13"/>
          <w:rFonts w:hint="eastAsia" w:ascii="仿宋_GB2312" w:hAnsi="仿宋_GB2312" w:cs="仿宋_GB2312"/>
          <w:b w:val="0"/>
          <w:bCs w:val="0"/>
          <w:color w:val="auto"/>
          <w:spacing w:val="-4"/>
          <w:sz w:val="32"/>
          <w:szCs w:val="30"/>
          <w:highlight w:val="none"/>
        </w:rPr>
        <w:t>资金投入情况：本项目总投资90万元，资金来源为中央专项资金。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color w:val="auto"/>
          <w:spacing w:val="-4"/>
          <w:sz w:val="32"/>
          <w:szCs w:val="30"/>
          <w:highlight w:val="none"/>
        </w:rPr>
      </w:pPr>
      <w:r>
        <w:rPr>
          <w:rStyle w:val="13"/>
          <w:rFonts w:hint="eastAsia" w:ascii="仿宋_GB2312" w:hAnsi="仿宋_GB2312" w:cs="仿宋_GB2312"/>
          <w:b w:val="0"/>
          <w:color w:val="auto"/>
          <w:spacing w:val="-4"/>
          <w:sz w:val="32"/>
          <w:szCs w:val="30"/>
          <w:highlight w:val="none"/>
        </w:rPr>
        <w:t>资金使用情况：根据项目实施情况，项目资金实际支付88.50万元，资金执行率达到</w:t>
      </w:r>
      <w:r>
        <w:rPr>
          <w:rStyle w:val="13"/>
          <w:rFonts w:hint="eastAsia" w:ascii="仿宋_GB2312" w:hAnsi="仿宋_GB2312" w:cs="仿宋_GB2312"/>
          <w:b w:val="0"/>
          <w:color w:val="auto"/>
          <w:spacing w:val="-4"/>
          <w:sz w:val="32"/>
          <w:szCs w:val="30"/>
          <w:highlight w:val="none"/>
          <w:lang w:val="en-US" w:eastAsia="zh-CN"/>
        </w:rPr>
        <w:t>98.30</w:t>
      </w:r>
      <w:r>
        <w:rPr>
          <w:rStyle w:val="13"/>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50" w:firstLineChars="250"/>
        <w:jc w:val="left"/>
        <w:rPr>
          <w:rFonts w:hint="default" w:ascii="仿宋_GB2312" w:hAnsi="仿宋_GB2312" w:eastAsia="仿宋_GB2312" w:cs="仿宋_GB2312"/>
          <w:color w:val="auto"/>
          <w:szCs w:val="30"/>
          <w:highlight w:val="none"/>
          <w:lang w:val="en-US" w:eastAsia="zh-CN"/>
        </w:rPr>
      </w:pPr>
      <w:r>
        <w:rPr>
          <w:rFonts w:hint="eastAsia" w:ascii="仿宋_GB2312" w:hAnsi="仿宋_GB2312" w:cs="仿宋_GB2312"/>
          <w:color w:val="auto"/>
          <w:szCs w:val="30"/>
          <w:highlight w:val="none"/>
        </w:rPr>
        <w:t>新型农业经营主体和社会化服务组织带头人员培训经费标准</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rPr>
        <w:t>4000元/人</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lang w:val="en-US" w:eastAsia="zh-CN"/>
        </w:rPr>
        <w:t>共计40万元；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50" w:firstLineChars="250"/>
        <w:jc w:val="left"/>
        <w:rPr>
          <w:rFonts w:hint="default" w:ascii="仿宋_GB2312" w:hAnsi="仿宋_GB2312" w:eastAsia="仿宋_GB2312" w:cs="仿宋_GB2312"/>
          <w:color w:val="auto"/>
          <w:szCs w:val="30"/>
          <w:highlight w:val="none"/>
          <w:lang w:val="en-US" w:eastAsia="zh-CN"/>
        </w:rPr>
      </w:pPr>
      <w:r>
        <w:rPr>
          <w:rFonts w:hint="eastAsia" w:ascii="仿宋_GB2312" w:hAnsi="仿宋_GB2312" w:cs="仿宋_GB2312"/>
          <w:color w:val="auto"/>
          <w:szCs w:val="30"/>
          <w:highlight w:val="none"/>
        </w:rPr>
        <w:t>乡村社会事业</w:t>
      </w:r>
      <w:r>
        <w:rPr>
          <w:rFonts w:hint="eastAsia" w:ascii="仿宋_GB2312" w:hAnsi="仿宋_GB2312" w:cs="仿宋_GB2312"/>
          <w:color w:val="auto"/>
          <w:szCs w:val="30"/>
          <w:highlight w:val="none"/>
          <w:lang w:eastAsia="zh-CN"/>
        </w:rPr>
        <w:t>整治</w:t>
      </w:r>
      <w:r>
        <w:rPr>
          <w:rFonts w:hint="eastAsia" w:ascii="仿宋_GB2312" w:hAnsi="仿宋_GB2312" w:cs="仿宋_GB2312"/>
          <w:color w:val="auto"/>
          <w:szCs w:val="30"/>
          <w:highlight w:val="none"/>
        </w:rPr>
        <w:t>带头人员培训经费标准</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rPr>
        <w:t>4000元/人</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lang w:val="en-US" w:eastAsia="zh-CN"/>
        </w:rPr>
        <w:t>共计20万元；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50" w:firstLineChars="250"/>
        <w:jc w:val="left"/>
        <w:rPr>
          <w:rFonts w:hint="eastAsia" w:ascii="仿宋_GB2312" w:hAnsi="仿宋_GB2312" w:cs="仿宋_GB2312"/>
          <w:color w:val="auto"/>
          <w:szCs w:val="30"/>
          <w:highlight w:val="none"/>
          <w:lang w:val="en-US" w:eastAsia="zh-CN"/>
        </w:rPr>
      </w:pPr>
      <w:r>
        <w:rPr>
          <w:rFonts w:hint="eastAsia" w:ascii="仿宋_GB2312" w:hAnsi="仿宋_GB2312" w:cs="仿宋_GB2312"/>
          <w:color w:val="auto"/>
          <w:szCs w:val="30"/>
          <w:highlight w:val="none"/>
        </w:rPr>
        <w:t>高素质女农民培训经费标准</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rPr>
        <w:t>3000元/人</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lang w:val="en-US" w:eastAsia="zh-CN"/>
        </w:rPr>
        <w:t>共计15万元；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50" w:firstLineChars="250"/>
        <w:jc w:val="left"/>
        <w:rPr>
          <w:rFonts w:hint="eastAsia" w:ascii="仿宋_GB2312" w:hAnsi="仿宋_GB2312" w:cs="仿宋_GB2312"/>
          <w:color w:val="auto"/>
          <w:szCs w:val="30"/>
          <w:highlight w:val="none"/>
          <w:lang w:val="en-US" w:eastAsia="zh-CN"/>
        </w:rPr>
      </w:pPr>
      <w:r>
        <w:rPr>
          <w:rFonts w:hint="eastAsia" w:ascii="仿宋_GB2312" w:hAnsi="仿宋_GB2312" w:cs="仿宋_GB2312"/>
          <w:color w:val="auto"/>
          <w:szCs w:val="30"/>
          <w:highlight w:val="none"/>
        </w:rPr>
        <w:t>技能服务培训经费标准</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rPr>
        <w:t>3000元/人</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lang w:val="en-US" w:eastAsia="zh-CN"/>
        </w:rPr>
        <w:t>共计13.5万元；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50" w:firstLineChars="250"/>
        <w:jc w:val="left"/>
        <w:rPr>
          <w:rStyle w:val="13"/>
          <w:rFonts w:hint="default" w:ascii="仿宋_GB2312"/>
          <w:b w:val="0"/>
          <w:color w:val="auto"/>
          <w:spacing w:val="-4"/>
          <w:sz w:val="32"/>
          <w:highlight w:val="none"/>
          <w:lang w:val="en-US"/>
        </w:rPr>
      </w:pPr>
      <w:r>
        <w:rPr>
          <w:rFonts w:hint="eastAsia" w:ascii="仿宋_GB2312" w:hAnsi="仿宋_GB2312" w:cs="仿宋_GB2312"/>
          <w:color w:val="auto"/>
          <w:szCs w:val="30"/>
          <w:highlight w:val="none"/>
          <w:lang w:val="en-US" w:eastAsia="zh-CN"/>
        </w:rPr>
        <w:t>剩余1.5万元无资金支出方向，已退回国库；</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关于提前下达2024年中央农业经营主体能力提升资金预算的通知》克财农【2023】28号文件，本项目下达资金90万元，用于年满16岁，正在从事或者有意愿从事农业生产、经营、服务的务农农民、返乡入乡创业创新者，乡村</w:t>
      </w:r>
      <w:r>
        <w:rPr>
          <w:rFonts w:hint="eastAsia" w:ascii="仿宋_GB2312" w:hAnsi="仿宋_GB2312" w:cs="仿宋_GB2312"/>
          <w:color w:val="auto"/>
          <w:sz w:val="32"/>
          <w:highlight w:val="none"/>
          <w:lang w:eastAsia="zh-CN"/>
        </w:rPr>
        <w:t>整治</w:t>
      </w:r>
      <w:r>
        <w:rPr>
          <w:rFonts w:hint="eastAsia" w:ascii="仿宋_GB2312" w:hAnsi="仿宋_GB2312" w:cs="仿宋_GB2312"/>
          <w:color w:val="auto"/>
          <w:sz w:val="32"/>
          <w:highlight w:val="none"/>
        </w:rPr>
        <w:t>及社会事业服务等人员开展高素质农民培育工作。</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 xml:space="preserve"> 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w:t>
      </w:r>
      <w:r>
        <w:rPr>
          <w:rFonts w:hint="eastAsia" w:ascii="仿宋_GB2312" w:hAnsi="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阿图什市2024年高素质农民培育项目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阿图什市2024年高素质农民培育项目的深入调研基础上，按照《项目支出绩效评价管理办法》（财预〔2021〕10号）对于指标体系的要求和规范，建立一套适合评价阿图什市2024年高素质农民培育项目的指标体系，从项目决策、项目过程、项目产出和项目绩效四个维度全面考察阿图什市2024年高素质农民培育项目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与《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阿图什市2024年高素质农民培育项目属于</w:t>
      </w:r>
      <w:r>
        <w:rPr>
          <w:rFonts w:hint="eastAsia" w:ascii="仿宋_GB2312" w:hAnsi="仿宋_GB2312" w:cs="仿宋_GB2312"/>
          <w:color w:val="auto"/>
          <w:sz w:val="32"/>
          <w:szCs w:val="24"/>
          <w:highlight w:val="none"/>
          <w:lang w:val="en-US" w:eastAsia="zh-CN" w:bidi="ar-SA"/>
        </w:rPr>
        <w:t>延续</w:t>
      </w:r>
      <w:r>
        <w:rPr>
          <w:rFonts w:hint="eastAsia" w:ascii="仿宋_GB2312" w:hAnsi="仿宋_GB2312" w:eastAsia="仿宋_GB2312" w:cs="仿宋_GB2312"/>
          <w:color w:val="auto"/>
          <w:sz w:val="32"/>
          <w:szCs w:val="24"/>
          <w:highlight w:val="none"/>
          <w:lang w:val="en-US" w:eastAsia="zh-CN" w:bidi="ar-SA"/>
        </w:rPr>
        <w:t>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3"/>
        <w:gridCol w:w="1880"/>
        <w:gridCol w:w="3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2813"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80"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850"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13"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库尔班江·吐尔孙</w:t>
            </w:r>
          </w:p>
        </w:tc>
        <w:tc>
          <w:tcPr>
            <w:tcW w:w="1880"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850"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13"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阿达来提·托尔逊</w:t>
            </w:r>
          </w:p>
        </w:tc>
        <w:tc>
          <w:tcPr>
            <w:tcW w:w="1880"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850"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13"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lang w:val="en-US" w:eastAsia="zh-CN"/>
              </w:rPr>
              <w:t>海米提</w:t>
            </w:r>
          </w:p>
        </w:tc>
        <w:tc>
          <w:tcPr>
            <w:tcW w:w="1880"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850"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阿图什市2024年高素质农民培育项目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专项资金的内容、操作流程、管理机制、资金使用方向等情况；进行项目支出部门评价各项工作采集信息，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组织管理、产出与效益效果。在此基础上，以相关的项目数据为基础，综合运用不同的评价方法，结合评价标准和评分规则，阿图什市2024年高素质农民培育项目综合得分为99.8分，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zh-CN" w:eastAsia="zh-CN" w:bidi="ar-SA"/>
        </w:rPr>
        <w:t>阿图什市2024年高素质农民培育项目</w:t>
      </w:r>
      <w:r>
        <w:rPr>
          <w:rFonts w:hint="eastAsia" w:ascii="仿宋_GB2312" w:hAnsi="仿宋_GB2312" w:eastAsia="仿宋_GB2312" w:cs="仿宋_GB2312"/>
          <w:b/>
          <w:color w:val="auto"/>
          <w:sz w:val="32"/>
          <w:szCs w:val="32"/>
          <w:highlight w:val="none"/>
          <w:lang w:val="en-US" w:eastAsia="zh-CN" w:bidi="ar-SA"/>
        </w:rPr>
        <w:t>评价得分情况</w:t>
      </w:r>
    </w:p>
    <w:tbl>
      <w:tblPr>
        <w:tblStyle w:val="10"/>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noWrap w:val="0"/>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16.92</w:t>
            </w:r>
          </w:p>
        </w:tc>
        <w:tc>
          <w:tcPr>
            <w:tcW w:w="3866" w:type="dxa"/>
            <w:tcBorders>
              <w:top w:val="single" w:color="auto" w:sz="4" w:space="0"/>
              <w:left w:val="single" w:color="auto" w:sz="4" w:space="0"/>
              <w:right w:val="single" w:color="auto" w:sz="4" w:space="0"/>
            </w:tcBorders>
            <w:shd w:val="clear" w:color="auto" w:fill="FFFFFF"/>
            <w:noWrap w:val="0"/>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预算执行率98.3%</w:t>
            </w: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29.88</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spacing w:line="560" w:lineRule="exact"/>
              <w:rPr>
                <w:rFonts w:hint="eastAsia" w:ascii="仿宋_GB2312" w:hAnsi="仿宋_GB2312" w:cs="仿宋_GB2312"/>
                <w:color w:val="auto"/>
                <w:sz w:val="32"/>
                <w:szCs w:val="32"/>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99.8</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阿图什市2024年高素质农民培育项目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本项目根据</w:t>
      </w:r>
      <w:r>
        <w:rPr>
          <w:rFonts w:hint="eastAsia" w:ascii="仿宋_GB2312" w:hAnsi="仿宋_GB2312" w:cs="仿宋_GB2312"/>
          <w:color w:val="auto"/>
          <w:sz w:val="32"/>
          <w:szCs w:val="32"/>
          <w:highlight w:val="none"/>
        </w:rPr>
        <w:t>《关于提前下达2024年中央农业经营主体能力提升资金预算的通知》克财农【2023】28号文件的资金支持及相关政策要求，</w:t>
      </w:r>
      <w:r>
        <w:rPr>
          <w:rFonts w:hint="eastAsia" w:ascii="仿宋_GB2312" w:hAnsi="仿宋_GB2312" w:cs="仿宋_GB2312"/>
          <w:color w:val="auto"/>
          <w:sz w:val="32"/>
          <w:szCs w:val="32"/>
          <w:highlight w:val="none"/>
          <w:lang w:val="en-US" w:eastAsia="zh-CN"/>
        </w:rPr>
        <w:t>本年度</w:t>
      </w:r>
      <w:r>
        <w:rPr>
          <w:rFonts w:hint="eastAsia" w:ascii="仿宋_GB2312" w:hAnsi="仿宋_GB2312" w:cs="仿宋_GB2312"/>
          <w:color w:val="auto"/>
          <w:sz w:val="32"/>
          <w:szCs w:val="32"/>
          <w:highlight w:val="none"/>
        </w:rPr>
        <w:t>推动及培育新型农业经营主体和社会化服务组织带头人员100人，高素质女农民人数50人，技能服务培训人数45人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通过实施本项目，</w:t>
      </w:r>
      <w:r>
        <w:rPr>
          <w:rFonts w:hint="eastAsia" w:ascii="仿宋_GB2312" w:hAnsi="仿宋_GB2312" w:cs="仿宋_GB2312"/>
          <w:color w:val="auto"/>
          <w:sz w:val="32"/>
          <w:szCs w:val="32"/>
          <w:highlight w:val="none"/>
        </w:rPr>
        <w:t>有效提升当地农民的现代农业理念、文化科技素质和生产经营管理能力。</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eastAsia="仿宋_GB2312" w:cs="宋体"/>
          <w:color w:val="auto"/>
          <w:kern w:val="0"/>
          <w:sz w:val="32"/>
          <w:szCs w:val="32"/>
          <w:highlight w:val="none"/>
          <w:lang w:val="en-US" w:eastAsia="zh-CN" w:bidi="ar-SA"/>
        </w:rPr>
        <w:t>阿图什市2024年高素质农民培育项目</w:t>
      </w:r>
      <w:r>
        <w:rPr>
          <w:rFonts w:hint="eastAsia" w:ascii="仿宋_GB2312" w:hAnsi="仿宋_GB2312" w:cs="仿宋_GB2312"/>
          <w:color w:val="auto"/>
          <w:sz w:val="32"/>
          <w:szCs w:val="32"/>
          <w:highlight w:val="none"/>
        </w:rPr>
        <w:t>支出共计88.5</w:t>
      </w:r>
      <w:r>
        <w:rPr>
          <w:rFonts w:hint="eastAsia" w:ascii="仿宋_GB2312" w:hAnsi="仿宋_GB2312" w:cs="仿宋_GB2312"/>
          <w:color w:val="auto"/>
          <w:sz w:val="32"/>
          <w:szCs w:val="32"/>
          <w:highlight w:val="none"/>
          <w:lang w:val="en-US" w:eastAsia="zh-CN"/>
        </w:rPr>
        <w:t>0</w:t>
      </w:r>
      <w:r>
        <w:rPr>
          <w:rFonts w:hint="eastAsia" w:ascii="仿宋_GB2312" w:hAnsi="仿宋_GB2312" w:cs="仿宋_GB2312"/>
          <w:color w:val="auto"/>
          <w:sz w:val="32"/>
          <w:szCs w:val="32"/>
          <w:highlight w:val="none"/>
        </w:rPr>
        <w:t>万元，评价得分值99.8分。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rPr>
        <w:t>高素质农民培育项目预算依据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阿图什市2024年高素质农民培育项目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阿图什市2024年高素质农民培育项目组织形式，明确了该项目经费的开支范围为</w:t>
      </w:r>
      <w:r>
        <w:rPr>
          <w:rFonts w:hint="eastAsia" w:ascii="仿宋_GB2312" w:hAnsi="仿宋_GB2312" w:cs="仿宋_GB2312"/>
          <w:color w:val="auto"/>
          <w:sz w:val="32"/>
          <w:szCs w:val="32"/>
          <w:highlight w:val="none"/>
          <w:lang w:val="en-US" w:eastAsia="zh-CN"/>
        </w:rPr>
        <w:t>培训支出</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）依照专项资金管理制度，按照不定期检查与项目周期检查相结合的方式，对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阿图什市2024年高素质农民培育项目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数量指标为新型农业经营主体和社会化服务组织带头人员，预期指标值是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100</w:t>
      </w:r>
      <w:bookmarkStart w:id="0" w:name="_GoBack"/>
      <w:bookmarkEnd w:id="0"/>
      <w:r>
        <w:rPr>
          <w:rFonts w:hint="eastAsia" w:ascii="仿宋_GB2312" w:hAnsi="仿宋_GB2312" w:cs="仿宋_GB2312"/>
          <w:color w:val="auto"/>
          <w:sz w:val="32"/>
          <w:szCs w:val="32"/>
          <w:highlight w:val="none"/>
        </w:rPr>
        <w:t>人，实际完成值是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100人，指标达到预期目标。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数量指标为乡村社会事业</w:t>
      </w:r>
      <w:r>
        <w:rPr>
          <w:rFonts w:hint="eastAsia" w:ascii="仿宋_GB2312" w:hAnsi="仿宋_GB2312" w:cs="仿宋_GB2312"/>
          <w:color w:val="auto"/>
          <w:sz w:val="32"/>
          <w:szCs w:val="32"/>
          <w:highlight w:val="none"/>
          <w:lang w:eastAsia="zh-CN"/>
        </w:rPr>
        <w:t>整治</w:t>
      </w:r>
      <w:r>
        <w:rPr>
          <w:rFonts w:hint="eastAsia" w:ascii="仿宋_GB2312" w:hAnsi="仿宋_GB2312" w:cs="仿宋_GB2312"/>
          <w:color w:val="auto"/>
          <w:sz w:val="32"/>
          <w:szCs w:val="32"/>
          <w:highlight w:val="none"/>
        </w:rPr>
        <w:t>带头人员，预期指标值是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50人，实际完成值是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50人，指标达到预期目标。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数量指标为高素质女农民人数，预期指标值是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50人，实际完成值是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50人，指标达到预期目标。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数量指标为技能服务培训人数，预期指标值是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45人，实际完成值是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45人，指标达到预期目标。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质量指标为培训人员出勤率，预期指标值是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质量指标为培训考核合格率，预期指标值是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98%，实际完成值是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98%，指标达到预期目标。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ascii="仿宋_GB2312"/>
          <w:color w:val="auto"/>
          <w:sz w:val="32"/>
          <w:szCs w:val="32"/>
          <w:highlight w:val="none"/>
        </w:rPr>
      </w:pPr>
      <w:r>
        <w:rPr>
          <w:rFonts w:hint="eastAsia" w:ascii="仿宋_GB2312"/>
          <w:color w:val="auto"/>
          <w:sz w:val="32"/>
          <w:szCs w:val="32"/>
          <w:highlight w:val="none"/>
        </w:rPr>
        <w:t>时效指标为项目按计划完成时间，预期指标值是2024年12月，实际完成值是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2024年12月，指标达到预期目标。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成本指标为新型农业经营主体和社会化服务组织带头人员培训经费标准，预期指标值是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4000元/人，实际完成值是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4000元/人，指标达到预期目标。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成本指标为乡村社会事业</w:t>
      </w:r>
      <w:r>
        <w:rPr>
          <w:rFonts w:hint="eastAsia" w:ascii="仿宋_GB2312"/>
          <w:color w:val="auto"/>
          <w:sz w:val="32"/>
          <w:szCs w:val="32"/>
          <w:highlight w:val="none"/>
          <w:lang w:eastAsia="zh-CN"/>
        </w:rPr>
        <w:t>整治</w:t>
      </w:r>
      <w:r>
        <w:rPr>
          <w:rFonts w:hint="eastAsia" w:ascii="仿宋_GB2312"/>
          <w:color w:val="auto"/>
          <w:sz w:val="32"/>
          <w:szCs w:val="32"/>
          <w:highlight w:val="none"/>
        </w:rPr>
        <w:t>带头人员培训经费标准，预期指标值是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4000元/人，实际完成值是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4000元/人，指标达到预期目标。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成本指标为高素质女农民培训经费标准，预期指标值是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3000元/人，实际完成值是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3000元/人，指标达到预期目标。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成本指标为技能服务性培训经费标准，预期指标值是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3000元/人，实际完成值是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3000元/人，指标达到预期目标。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ascii="仿宋_GB2312" w:hAnsi="仿宋" w:cs="宋体"/>
          <w:b/>
          <w:bCs/>
          <w:color w:val="auto"/>
          <w:sz w:val="32"/>
          <w:szCs w:val="32"/>
          <w:highlight w:val="none"/>
        </w:rPr>
        <w:t xml:space="preserve"> </w:t>
      </w: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指标为提升当地产业发展能力，预期指标值是有效提升，实际完成值是有效提升，指标达到预期目标。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lang w:val="en-US" w:eastAsia="zh-CN"/>
        </w:rPr>
        <w:t>4</w:t>
      </w:r>
      <w:r>
        <w:rPr>
          <w:rFonts w:hint="eastAsia" w:ascii="仿宋_GB2312" w:hAnsi="仿宋" w:cs="宋体"/>
          <w:b/>
          <w:bCs/>
          <w:color w:val="auto"/>
          <w:sz w:val="32"/>
          <w:szCs w:val="32"/>
          <w:highlight w:val="none"/>
        </w:rPr>
        <w:t>．满意度指标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满意度指标为培训人员满意度，预期指标值是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本项目实施效果较好的原因主要是管理制度完善、责任落实到位，跟踪考核机制完善且运行有效，在项目实施过程中创新管理办法，使项目取得了良好的效果</w:t>
      </w:r>
      <w:r>
        <w:rPr>
          <w:rFonts w:hint="eastAsia"/>
          <w:b w:val="0"/>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仿宋_GB2312"/>
          <w:color w:val="auto"/>
          <w:sz w:val="36"/>
          <w:szCs w:val="32"/>
          <w:highlight w:val="none"/>
          <w:lang w:val="en-US" w:eastAsia="zh-CN"/>
        </w:rPr>
      </w:pPr>
      <w:r>
        <w:rPr>
          <w:rFonts w:hint="eastAsia"/>
          <w:color w:val="auto"/>
          <w:sz w:val="32"/>
          <w:highlight w:val="none"/>
        </w:rPr>
        <w:t>本项目全年预算数90万元，执行数88.5万元，执行率</w:t>
      </w:r>
      <w:r>
        <w:rPr>
          <w:rFonts w:hint="eastAsia"/>
          <w:color w:val="auto"/>
          <w:sz w:val="32"/>
          <w:highlight w:val="none"/>
          <w:lang w:val="en-US" w:eastAsia="zh-CN"/>
        </w:rPr>
        <w:t>98.3</w:t>
      </w:r>
      <w:r>
        <w:rPr>
          <w:rFonts w:hint="eastAsia"/>
          <w:color w:val="auto"/>
          <w:sz w:val="32"/>
          <w:highlight w:val="none"/>
        </w:rPr>
        <w:t>%，绩效指标完成率</w:t>
      </w:r>
      <w:r>
        <w:rPr>
          <w:rFonts w:hint="eastAsia"/>
          <w:color w:val="auto"/>
          <w:sz w:val="32"/>
          <w:highlight w:val="none"/>
          <w:lang w:val="en-US" w:eastAsia="zh-CN"/>
        </w:rPr>
        <w:t>100</w:t>
      </w:r>
      <w:r>
        <w:rPr>
          <w:rFonts w:hint="eastAsia"/>
          <w:color w:val="auto"/>
          <w:sz w:val="32"/>
          <w:highlight w:val="none"/>
        </w:rPr>
        <w:t>%，偏差率</w:t>
      </w:r>
      <w:r>
        <w:rPr>
          <w:rFonts w:hint="eastAsia"/>
          <w:color w:val="auto"/>
          <w:sz w:val="32"/>
          <w:highlight w:val="none"/>
          <w:lang w:val="en-US" w:eastAsia="zh-CN"/>
        </w:rPr>
        <w:t>1.7</w:t>
      </w:r>
      <w:r>
        <w:rPr>
          <w:rFonts w:hint="eastAsia"/>
          <w:color w:val="auto"/>
          <w:sz w:val="32"/>
          <w:highlight w:val="none"/>
        </w:rPr>
        <w:t>%。偏差原因：</w:t>
      </w:r>
      <w:r>
        <w:rPr>
          <w:rFonts w:hint="eastAsia"/>
          <w:color w:val="auto"/>
          <w:sz w:val="32"/>
          <w:highlight w:val="none"/>
          <w:lang w:val="en-US" w:eastAsia="zh-CN"/>
        </w:rPr>
        <w:t>项目初期实施培训计划不够精准，培训实际所需资金与预期计划之间存在偏差，剩余1.5万元无拨款用途国库，预算执行率未达预期目标。</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开展进度的跟踪，确保项目绩效目标的完成。规范程序，严格把关。进一步完善项目申报、审核、公示、审批等程序，严格做好项目信息公开，公开内容要及时、完整、真实，确保项目公平、公开、公正。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0"/>
        <w:tblW w:w="9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noWrap w:val="0"/>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rPr>
              <w:t>4.</w:t>
            </w:r>
            <w:r>
              <w:rPr>
                <w:rFonts w:hint="eastAsia" w:ascii="仿宋_GB2312" w:hAnsi="仿宋_GB2312" w:cs="仿宋_GB2312"/>
                <w:color w:val="auto"/>
                <w:sz w:val="24"/>
                <w:highlight w:val="none"/>
                <w:lang w:val="en-US" w:eastAsia="zh-CN"/>
              </w:rPr>
              <w:t>92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noWrap w:val="0"/>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6.88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noWrap w:val="0"/>
            <w:vAlign w:val="center"/>
          </w:tcPr>
          <w:p>
            <w:pPr>
              <w:widowControl/>
              <w:spacing w:line="400" w:lineRule="exact"/>
              <w:jc w:val="center"/>
              <w:rPr>
                <w:rFonts w:hint="eastAsia" w:ascii="仿宋_GB2312" w:hAnsi="仿宋_GB2312" w:eastAsia="仿宋_GB2312" w:cs="仿宋_GB2312"/>
                <w:color w:val="auto"/>
                <w:kern w:val="0"/>
                <w:sz w:val="24"/>
                <w:highlight w:val="none"/>
                <w:lang w:eastAsia="zh-CN"/>
              </w:rPr>
            </w:pPr>
            <w:r>
              <w:rPr>
                <w:rFonts w:hint="eastAsia" w:ascii="仿宋_GB2312" w:hAnsi="仿宋_GB2312" w:cs="仿宋_GB2312"/>
                <w:color w:val="auto"/>
                <w:kern w:val="0"/>
                <w:sz w:val="24"/>
                <w:highlight w:val="none"/>
              </w:rPr>
              <w:t>99.</w:t>
            </w:r>
            <w:r>
              <w:rPr>
                <w:rFonts w:hint="eastAsia" w:ascii="仿宋_GB2312" w:hAnsi="仿宋_GB2312" w:cs="仿宋_GB2312"/>
                <w:color w:val="auto"/>
                <w:kern w:val="0"/>
                <w:sz w:val="24"/>
                <w:highlight w:val="none"/>
                <w:lang w:val="en-US" w:eastAsia="zh-CN"/>
              </w:rPr>
              <w:t>8</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rPr>
        <w:rFonts w:hint="default"/>
        <w:b/>
        <w:bCs/>
        <w:color w:val="auto"/>
      </w:rPr>
    </w:lvl>
  </w:abstractNum>
  <w:abstractNum w:abstractNumId="1">
    <w:nsid w:val="0053208E"/>
    <w:multiLevelType w:val="multilevel"/>
    <w:tmpl w:val="0053208E"/>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7409204C"/>
    <w:rsid w:val="790A6A02"/>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qFormat/>
    <w:uiPriority w:val="0"/>
    <w:rPr>
      <w:sz w:val="18"/>
      <w:szCs w:val="18"/>
    </w:rPr>
  </w:style>
  <w:style w:type="paragraph" w:styleId="8">
    <w:name w:val="footer"/>
    <w:basedOn w:val="1"/>
    <w:link w:val="21"/>
    <w:qFormat/>
    <w:uiPriority w:val="0"/>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qFormat/>
    <w:uiPriority w:val="0"/>
    <w:rPr>
      <w:sz w:val="21"/>
      <w:szCs w:val="21"/>
    </w:rPr>
  </w:style>
  <w:style w:type="character" w:customStyle="1" w:styleId="17">
    <w:name w:val="标题 1 Char"/>
    <w:basedOn w:val="12"/>
    <w:link w:val="3"/>
    <w:qFormat/>
    <w:uiPriority w:val="0"/>
    <w:rPr>
      <w:rFonts w:eastAsia="仿宋_GB2312"/>
      <w:b/>
      <w:bCs/>
      <w:kern w:val="44"/>
      <w:sz w:val="44"/>
      <w:szCs w:val="44"/>
    </w:rPr>
  </w:style>
  <w:style w:type="character" w:customStyle="1" w:styleId="18">
    <w:name w:val="标题 2 Char"/>
    <w:basedOn w:val="12"/>
    <w:link w:val="4"/>
    <w:semiHidden/>
    <w:qFormat/>
    <w:uiPriority w:val="0"/>
    <w:rPr>
      <w:rFonts w:ascii="Cambria" w:hAnsi="Cambria" w:eastAsia="宋体" w:cs="Times New Roman"/>
      <w:b/>
      <w:bCs/>
      <w:kern w:val="2"/>
      <w:sz w:val="32"/>
      <w:szCs w:val="32"/>
    </w:rPr>
  </w:style>
  <w:style w:type="character" w:customStyle="1" w:styleId="19">
    <w:name w:val="批注文字 字符"/>
    <w:link w:val="14"/>
    <w:qFormat/>
    <w:uiPriority w:val="0"/>
    <w:rPr>
      <w:rFonts w:eastAsia="仿宋_GB2312"/>
      <w:kern w:val="2"/>
      <w:sz w:val="30"/>
      <w:szCs w:val="24"/>
    </w:rPr>
  </w:style>
  <w:style w:type="character" w:customStyle="1" w:styleId="20">
    <w:name w:val="批注框文本 字符"/>
    <w:link w:val="7"/>
    <w:qFormat/>
    <w:uiPriority w:val="0"/>
    <w:rPr>
      <w:rFonts w:eastAsia="仿宋_GB2312"/>
      <w:kern w:val="2"/>
      <w:sz w:val="18"/>
      <w:szCs w:val="18"/>
    </w:rPr>
  </w:style>
  <w:style w:type="character" w:customStyle="1" w:styleId="21">
    <w:name w:val="页脚 字符"/>
    <w:link w:val="8"/>
    <w:qFormat/>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qFormat/>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9A52CA0CA0EA440982AF820BE0A7F3AF_13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52dd3370-7a81-4c7d-a816-17ef3ab18dcc}">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9042</Words>
  <Characters>9365</Characters>
  <Lines>56</Lines>
  <Paragraphs>15</Paragraphs>
  <TotalTime>30</TotalTime>
  <ScaleCrop>false</ScaleCrop>
  <LinksUpToDate>false</LinksUpToDate>
  <CharactersWithSpaces>9375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2025-09-19T09:52:07Z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9A52CA0CA0EA440982AF820BE0A7F3AF_13</vt:lpwstr>
  </property>
  <property fmtid="{D5CDD505-2E9C-101B-9397-08002B2CF9AE}" pid="4" name="KSOTemplateDocerSaveRecord">
    <vt:lpwstr>eyJoZGlkIjoiYzZkNzQ4ZWFiZmQ4NTRhOWRkZTk3YTMwMjlmMmZhYmUiLCJ1c2VySWQiOiI1NzgxMjU4NDIifQ_x003D__x003D_</vt:lpwstr>
  </property>
</Properties>
</file>