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阿图什市机关大院日常运行费项目（含电费、水费、电梯维修维护、日常零星维修等）</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ind w:left="1600" w:hanging="1600" w:hangingChars="500"/>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项目名称：阿图什市机关大院日常运行费项目（含电费、水费、电梯维修维护、日常零星维修等）</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项目单位：阿图什市人民政府办公室</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主管部门：阿图什市人民政府办公室</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28</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阿图什市机关大院日常运行费项目（含电费、</w:t>
      </w: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水费、电梯维修维护、日常零星维修等）</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为确保2024年市委机关大院、援疆楼等点位正常运转，基础设施健全完善。2024年对市委综合办公楼、援疆楼进行全年维修维护，并为其缴纳全年水、电、暖气费，保障电梯运行，消防维护等后勤服务保障，为工作人员提供良好的办公环境，更好地服务于人民群众。</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根据《市政府办公室预算会议纪要》，安排项目资金600万元，主要用于保障单位日常运转，办公楼进行维修维护、缴纳水电、暖气、通讯服务费用；通过项目的实施，保障单位日常工作正常运行，提高工作效率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人民政府办公室,实施单位为阿图什市人民政府办公室，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600</w:t>
      </w:r>
      <w:r>
        <w:rPr>
          <w:rStyle w:val="11"/>
          <w:rFonts w:hint="eastAsia" w:ascii="仿宋_GB2312" w:hAnsi="仿宋_GB2312" w:cs="仿宋_GB2312"/>
          <w:b w:val="0"/>
          <w:bCs w:val="0"/>
          <w:color w:val="auto"/>
          <w:spacing w:val="-4"/>
          <w:sz w:val="32"/>
          <w:szCs w:val="30"/>
          <w:highlight w:val="none"/>
        </w:rPr>
        <w:t>万元，资金来源为本级部门预算资金。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351.92</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58.7</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全年日常维修维护成本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160万元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缴纳水电、暖气通讯服务</w:t>
      </w:r>
      <w:r>
        <w:rPr>
          <w:rStyle w:val="11"/>
          <w:rFonts w:hint="eastAsia" w:ascii="仿宋_GB2312"/>
          <w:b w:val="0"/>
          <w:color w:val="auto"/>
          <w:spacing w:val="-4"/>
          <w:sz w:val="32"/>
          <w:highlight w:val="none"/>
          <w:lang w:val="en-US" w:eastAsia="zh-CN"/>
        </w:rPr>
        <w:t>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100万元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购买办公用品及耗材成本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21.92万元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保障公务用车成本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50万元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其他业务工作成本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20万元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_GB2312" w:eastAsia="仿宋_GB2312" w:cs="仿宋_GB2312"/>
          <w:color w:val="auto"/>
          <w:sz w:val="32"/>
          <w:highlight w:val="none"/>
          <w:lang w:eastAsia="zh-CN"/>
        </w:rPr>
      </w:pPr>
      <w:r>
        <w:rPr>
          <w:rFonts w:hint="eastAsia" w:ascii="仿宋_GB2312" w:hAnsi="仿宋_GB2312" w:cs="仿宋_GB2312"/>
          <w:color w:val="auto"/>
          <w:sz w:val="32"/>
          <w:highlight w:val="none"/>
        </w:rPr>
        <w:t>年度总体目标为：根据《市政府办公室预算会议纪要》，安排项目资金600万元，主要用于保障单位日常运转，办公楼进行维修维护、缴纳水电、暖气、通讯服务费用；通过项目的实施，保障单位日常工作正常运行，提高工作效率</w:t>
      </w:r>
      <w:r>
        <w:rPr>
          <w:rFonts w:hint="eastAsia" w:ascii="仿宋_GB2312" w:hAnsi="仿宋_GB2312" w:cs="仿宋_GB2312"/>
          <w:color w:val="auto"/>
          <w:sz w:val="32"/>
          <w:highlight w:val="none"/>
          <w:lang w:eastAsia="zh-CN"/>
        </w:rPr>
        <w:t>。</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阿图什市机关大院日常运行费项目（含电费、水费、电梯维修维护、日常零星维修等）</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应用和</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在对202</w:t>
      </w:r>
      <w:r>
        <w:rPr>
          <w:rFonts w:ascii="仿宋_GB2312" w:hAnsi="仿宋_GB2312" w:cs="仿宋_GB2312"/>
          <w:color w:val="auto"/>
          <w:sz w:val="32"/>
          <w:highlight w:val="none"/>
        </w:rPr>
        <w:t>4</w:t>
      </w:r>
      <w:r>
        <w:rPr>
          <w:rFonts w:hint="eastAsia" w:ascii="仿宋_GB2312" w:hAnsi="仿宋_GB2312" w:cs="仿宋_GB2312"/>
          <w:color w:val="auto"/>
          <w:sz w:val="32"/>
          <w:highlight w:val="none"/>
        </w:rPr>
        <w:t>年</w:t>
      </w:r>
      <w:r>
        <w:rPr>
          <w:rFonts w:hint="eastAsia" w:ascii="仿宋_GB2312" w:hAnsi="仿宋_GB2312" w:cs="仿宋_GB2312"/>
          <w:color w:val="auto"/>
          <w:sz w:val="32"/>
          <w:highlight w:val="none"/>
          <w:lang w:eastAsia="zh-CN"/>
        </w:rPr>
        <w:t>阿图什市机关大院日常运行费项目（含电费、水费、电梯维修维护、日常零星维修等）</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阿图什市机关大院日常运行费项目（含电费、水费、电梯维修维护、日常零星维修等）</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阿图什市机关大院日常运行费项目（含电费、水费、电梯维修维护、日常零星维修等）</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阿图什市机关大院日常运行费项目（含电费、水费、电梯维修维护、日常零星维修等）</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业务</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1"/>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9"/>
        <w:gridCol w:w="1956"/>
        <w:gridCol w:w="3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779"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956"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787"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779"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曹斅懿</w:t>
            </w:r>
          </w:p>
        </w:tc>
        <w:tc>
          <w:tcPr>
            <w:tcW w:w="1956"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787"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779"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阿比力江</w:t>
            </w:r>
          </w:p>
        </w:tc>
        <w:tc>
          <w:tcPr>
            <w:tcW w:w="1956"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787"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779"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米热巴尼·艾尼江</w:t>
            </w:r>
          </w:p>
        </w:tc>
        <w:tc>
          <w:tcPr>
            <w:tcW w:w="1956"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787"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3月20日开始前期准备工作。评价组通过对评价对象前期调研，确定了评价的目的、方法以及评价的原则，根据阿图什市机关大院日常运行费项目（含电费、水费、电梯维修维护、日常零星维修等）的内容和特征制定了评价指标体系及评价标准以及评价实施方案，修正并确定所需资料清单，最终确定实施方案。</w:t>
      </w:r>
    </w:p>
    <w:p>
      <w:pPr>
        <w:pStyle w:val="25"/>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5"/>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5"/>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5"/>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5"/>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5"/>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阿图什市机关大院日常运行费项目（含电费、水费、电梯维修维护、日常零星维修等）综合得分为95.7分，</w:t>
      </w:r>
      <w:r>
        <w:rPr>
          <w:rFonts w:hint="eastAsia" w:ascii="仿宋_GB2312" w:hAnsi="Cambria" w:eastAsia="仿宋_GB2312"/>
          <w:color w:val="auto"/>
          <w:sz w:val="32"/>
          <w:szCs w:val="32"/>
          <w:highlight w:val="none"/>
        </w:rPr>
        <w:t>评价结果为优。</w:t>
      </w:r>
    </w:p>
    <w:p>
      <w:pPr>
        <w:pStyle w:val="2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ascii="仿宋_GB2312" w:hAnsi="仿宋_GB2312" w:eastAsia="仿宋_GB2312" w:cs="仿宋_GB2312"/>
          <w:b/>
          <w:color w:val="auto"/>
          <w:sz w:val="32"/>
          <w:szCs w:val="32"/>
          <w:highlight w:val="none"/>
          <w:lang w:val="en-US" w:eastAsia="zh-CN" w:bidi="ar-SA"/>
        </w:rPr>
        <w:t>4</w:t>
      </w:r>
      <w:r>
        <w:rPr>
          <w:rFonts w:hint="eastAsia" w:ascii="仿宋_GB2312" w:hAnsi="仿宋_GB2312" w:eastAsia="仿宋_GB2312" w:cs="仿宋_GB2312"/>
          <w:b/>
          <w:color w:val="auto"/>
          <w:sz w:val="32"/>
          <w:szCs w:val="32"/>
          <w:highlight w:val="none"/>
          <w:lang w:val="en-US" w:eastAsia="zh-CN" w:bidi="ar-SA"/>
        </w:rPr>
        <w:t>年阿图什市机关大院日常运行费项目（含电费、水费、电梯维修维护、日常零星维修等）评价得分情况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0"/>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14.93</w:t>
            </w:r>
          </w:p>
        </w:tc>
        <w:tc>
          <w:tcPr>
            <w:tcW w:w="3866" w:type="dxa"/>
            <w:tcBorders>
              <w:top w:val="single" w:color="auto" w:sz="4" w:space="0"/>
              <w:left w:val="single" w:color="auto" w:sz="4" w:space="0"/>
              <w:right w:val="single" w:color="auto" w:sz="4" w:space="0"/>
            </w:tcBorders>
            <w:shd w:val="clear" w:color="auto" w:fill="FFFFFF"/>
            <w:vAlign w:val="bottom"/>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预算执行率扣2.07分</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27.77</w:t>
            </w:r>
          </w:p>
        </w:tc>
        <w:tc>
          <w:tcPr>
            <w:tcW w:w="3866" w:type="dxa"/>
            <w:tcBorders>
              <w:top w:val="single" w:color="auto" w:sz="4" w:space="0"/>
              <w:left w:val="single" w:color="auto" w:sz="4" w:space="0"/>
              <w:right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成本指标扣2.23分</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95.7</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阿图什市机关大院日常运行费项目（含电费、水费、电梯维修维护、日常零星维修等）</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年已完成保障单位日常运转期限12个月</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缴纳水电、暖气通讯服务期限12个月</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购买办公用品及耗材数量4批次</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保障公务用车运转期限12个月等工作；通过该项目的实施保障单位日常工作正常运行，提高工作效率。</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阿图什市机关大院日常运行费项目（含电费、水费、电梯维修维护、日常零星维修等）</w:t>
      </w:r>
      <w:r>
        <w:rPr>
          <w:rFonts w:hint="eastAsia" w:ascii="仿宋_GB2312" w:hAnsi="仿宋_GB2312" w:cs="仿宋_GB2312"/>
          <w:color w:val="auto"/>
          <w:sz w:val="32"/>
          <w:szCs w:val="32"/>
          <w:highlight w:val="none"/>
        </w:rPr>
        <w:t>支出共计351.92万元，评价得分值</w:t>
      </w:r>
      <w:r>
        <w:rPr>
          <w:rFonts w:hint="eastAsia" w:ascii="仿宋_GB2312" w:hAnsi="仿宋_GB2312" w:cs="仿宋_GB2312"/>
          <w:color w:val="auto"/>
          <w:sz w:val="32"/>
          <w:szCs w:val="32"/>
          <w:highlight w:val="none"/>
          <w:lang w:val="en-US" w:eastAsia="zh-CN"/>
        </w:rPr>
        <w:t>95.7</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9"/>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阿图什市机关大院日常运行费项目（含电费、水费、电梯维修维护、日常零星维修等）</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阿图什市机关大院日常运行费项目（含电费、水费、电梯维修维护、日常零星维修等）</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阿图什市机关大院日常运行费项目（含电费、水费、电梯维修维护、日常零星维修等）</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阿图什市机关大院日常运行</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选择合规可行的采购形式，并组织专家评审或公开招标，将采购政策、采购程序、采购过程规范化、透明化。</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阿图什市机关大院日常运行费项目（含电费、水费、电梯维修维护、日常零星维修等）</w:t>
      </w:r>
      <w:r>
        <w:rPr>
          <w:rFonts w:hint="eastAsia" w:ascii="仿宋_GB2312" w:hAnsi="仿宋_GB2312" w:cs="仿宋_GB2312"/>
          <w:color w:val="auto"/>
          <w:sz w:val="32"/>
          <w:szCs w:val="32"/>
          <w:highlight w:val="none"/>
        </w:rPr>
        <w:t>在实施阶段均制定了具体的组织实施文件，各个项目均经过项目申报、项目评审、项目核准备案、采购招标、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数量指标为保障单位日常运转期限，预期指标值是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数量指标为缴纳水电、暖气通讯服务期限，预期指标值是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数量指标为购买办公用品及耗材数量，预期指标值是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4批次，实际完成值是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4批次，指标达到预期目标。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数量指标为保障公务用车运转期限，预期指标值是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质量指标为购买办公用品验收合格率，预期指标值是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质量指标为工作质量达标率，预期指标值是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时效指标为项目结束时间，预期指标值是2024年12月，实际完成值是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成本指标为全年日常维修维护成本，预期指标值是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200万元，实际完成值是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160万元，指标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成本指标为缴纳水电、暖气通讯服务，预期指标值是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100万元，实际完成值是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100万元，指标达到预期目标。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成本指标为购买办公用品及耗材成本，预期指标值是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21.92万元，指标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成本指标为保障公务用车成本，预期指标值是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50万元，实际完成值是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50万元，指标达到预期目标。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成本指标为其他业务工作成本，预期指标值是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230万元，实际完成值是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eastAsia="仿宋_GB2312"/>
          <w:color w:val="auto"/>
          <w:sz w:val="32"/>
          <w:szCs w:val="32"/>
          <w:highlight w:val="none"/>
          <w:lang w:val="en-US" w:eastAsia="zh-CN"/>
        </w:rPr>
      </w:pPr>
      <w:r>
        <w:rPr>
          <w:rFonts w:hint="eastAsia" w:ascii="仿宋_GB2312"/>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指标为保障单位工作正常运转，预期指标值是有效保障，实际完成值是有效保障，指标达到预期目标。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满意度指标为工作人员满意度，预期指标值是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1"/>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仿宋_GB2312"/>
          <w:color w:val="auto"/>
          <w:sz w:val="36"/>
          <w:szCs w:val="32"/>
          <w:highlight w:val="none"/>
          <w:lang w:eastAsia="zh-CN"/>
        </w:rPr>
      </w:pPr>
      <w:r>
        <w:rPr>
          <w:rFonts w:hint="eastAsia"/>
          <w:color w:val="auto"/>
          <w:sz w:val="32"/>
        </w:rPr>
        <w:t>本项目全年预算数</w:t>
      </w:r>
      <w:r>
        <w:rPr>
          <w:rFonts w:hint="eastAsia"/>
          <w:color w:val="auto"/>
          <w:sz w:val="32"/>
          <w:lang w:val="en-US" w:eastAsia="zh-CN"/>
        </w:rPr>
        <w:t>600</w:t>
      </w:r>
      <w:r>
        <w:rPr>
          <w:rFonts w:hint="eastAsia"/>
          <w:color w:val="auto"/>
          <w:sz w:val="32"/>
        </w:rPr>
        <w:t>万元，执行数351.92万元，执行率58.70%，绩效指标完成率92.7%，偏差率</w:t>
      </w:r>
      <w:r>
        <w:rPr>
          <w:rFonts w:hint="eastAsia"/>
          <w:color w:val="auto"/>
          <w:sz w:val="32"/>
          <w:lang w:val="en-US" w:eastAsia="zh-CN"/>
        </w:rPr>
        <w:t>34</w:t>
      </w:r>
      <w:r>
        <w:rPr>
          <w:rFonts w:hint="eastAsia"/>
          <w:color w:val="auto"/>
          <w:sz w:val="32"/>
        </w:rPr>
        <w:t>%。</w:t>
      </w:r>
      <w:r>
        <w:rPr>
          <w:rFonts w:hint="eastAsia"/>
          <w:color w:val="auto"/>
          <w:sz w:val="32"/>
          <w:highlight w:val="none"/>
        </w:rPr>
        <w:t>偏差原因：项目部分支出资料及手续不完整，导致指标未能完成</w:t>
      </w:r>
      <w:r>
        <w:rPr>
          <w:rFonts w:hint="eastAsia"/>
          <w:color w:val="auto"/>
          <w:sz w:val="32"/>
          <w:highlight w:val="none"/>
          <w:lang w:eastAsia="zh-CN"/>
        </w:rPr>
        <w:t>。</w:t>
      </w:r>
    </w:p>
    <w:p>
      <w:pPr>
        <w:pStyle w:val="31"/>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2"/>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2"/>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2"/>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1"/>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2"/>
        <w:keepNext w:val="0"/>
        <w:keepLines w:val="0"/>
        <w:spacing w:before="0" w:after="0" w:line="560" w:lineRule="exact"/>
        <w:ind w:firstLine="640"/>
        <w:rPr>
          <w:rFonts w:hint="eastAsia" w:ascii="仿宋_GB2312" w:hAnsi="仿宋_GB2312" w:cs="仿宋_GB2312"/>
          <w:color w:val="auto"/>
          <w:sz w:val="32"/>
          <w:szCs w:val="32"/>
          <w:highlight w:val="none"/>
        </w:rPr>
      </w:pPr>
      <w:r>
        <w:rPr>
          <w:rFonts w:hint="eastAsia" w:ascii="仿宋_GB2312" w:hAnsi="仿宋" w:eastAsia="仿宋_GB2312" w:cs="宋体"/>
          <w:b w:val="0"/>
          <w:color w:val="auto"/>
          <w:kern w:val="2"/>
          <w:highlight w:val="none"/>
          <w:lang w:val="en-US" w:eastAsia="zh-CN"/>
        </w:rPr>
        <w:t>无。</w:t>
      </w: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2.93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4.77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95.7</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CE3D9"/>
    <w:multiLevelType w:val="multilevel"/>
    <w:tmpl w:val="68CCE3D9"/>
    <w:lvl w:ilvl="0" w:tentative="0">
      <w:start w:val="1"/>
      <w:numFmt w:val="chineseCountingThousand"/>
      <w:pStyle w:val="31"/>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CE3E4"/>
    <w:multiLevelType w:val="singleLevel"/>
    <w:tmpl w:val="68CCE3E4"/>
    <w:lvl w:ilvl="0" w:tentative="0">
      <w:start w:val="3"/>
      <w:numFmt w:val="decimal"/>
      <w:suff w:val="nothing"/>
      <w:lvlText w:val="%1．"/>
      <w:lvlJc w:val="left"/>
      <w:rPr>
        <w:rFonts w:hint="default"/>
        <w:b/>
        <w:bCs/>
        <w:color w:val="auto"/>
      </w:rPr>
    </w:lvl>
  </w:abstractNum>
  <w:abstractNum w:abstractNumId="2">
    <w:nsid w:val="68CCE3EF"/>
    <w:multiLevelType w:val="singleLevel"/>
    <w:tmpl w:val="68CCE3EF"/>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39A6123E"/>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Body text|1_"/>
    <w:link w:val="25"/>
    <w:qFormat/>
    <w:uiPriority w:val="0"/>
    <w:rPr>
      <w:rFonts w:ascii="宋体" w:hAnsi="宋体" w:cs="宋体"/>
      <w:kern w:val="2"/>
      <w:sz w:val="30"/>
      <w:szCs w:val="30"/>
      <w:lang w:val="zh-TW" w:eastAsia="zh-TW" w:bidi="zh-TW"/>
    </w:rPr>
  </w:style>
  <w:style w:type="paragraph" w:customStyle="1" w:styleId="25">
    <w:name w:val="Body text|1"/>
    <w:basedOn w:val="1"/>
    <w:link w:val="24"/>
    <w:qFormat/>
    <w:uiPriority w:val="0"/>
    <w:pPr>
      <w:spacing w:line="420" w:lineRule="auto"/>
      <w:ind w:firstLine="400"/>
    </w:pPr>
    <w:rPr>
      <w:rFonts w:ascii="宋体" w:hAnsi="宋体" w:eastAsia="宋体" w:cs="宋体"/>
      <w:szCs w:val="30"/>
      <w:lang w:val="zh-TW" w:eastAsia="zh-TW" w:bidi="zh-TW"/>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闻政正文 Char"/>
    <w:link w:val="29"/>
    <w:qFormat/>
    <w:uiPriority w:val="0"/>
    <w:rPr>
      <w:rFonts w:eastAsia="仿宋_GB2312"/>
      <w:sz w:val="28"/>
      <w:szCs w:val="28"/>
    </w:rPr>
  </w:style>
  <w:style w:type="paragraph" w:customStyle="1" w:styleId="29">
    <w:name w:val="闻政正文"/>
    <w:basedOn w:val="1"/>
    <w:link w:val="28"/>
    <w:qFormat/>
    <w:uiPriority w:val="0"/>
    <w:pPr>
      <w:spacing w:line="500" w:lineRule="exact"/>
      <w:ind w:firstLine="560" w:firstLineChars="200"/>
    </w:pPr>
    <w:rPr>
      <w:kern w:val="0"/>
      <w:sz w:val="28"/>
      <w:szCs w:val="28"/>
    </w:rPr>
  </w:style>
  <w:style w:type="paragraph" w:customStyle="1" w:styleId="30">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1">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2">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386C36910A334A2EB957BCDE88410B5B_13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11f623-f941-4fcb-9cab-45eb7c519dfd}">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4</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2025-09-19T05:02:14Z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386C36910A334A2EB957BCDE88410B5B_13</vt:lpwstr>
  </property>
  <property fmtid="{D5CDD505-2E9C-101B-9397-08002B2CF9AE}" pid="4" name="KSOTemplateDocerSaveRecord">
    <vt:lpwstr>eyJoZGlkIjoiYzZkNzQ4ZWFiZmQ4NTRhOWRkZTk3YTMwMjlmMmZhYmUiLCJ1c2VySWQiOiI1NzgxMjU4NDIifQ_x003D__x003D_</vt:lpwstr>
  </property>
</Properties>
</file>