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阿图什市种子管理站2024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新品种的引进、试验、示范、推广和现代种业和推广各种三圃田建设。</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阿图什市种子管理站2024年度，实有人数32人，其中：在职人员18人，减少1人；离休人员0人，增加0人；退休人员14人,增加0人。</w:t>
      </w:r>
    </w:p>
    <w:p>
      <w:pPr>
        <w:spacing w:line="580" w:lineRule="exact"/>
        <w:ind w:firstLine="640"/>
        <w:jc w:val="both"/>
      </w:pPr>
      <w:r>
        <w:rPr>
          <w:rFonts w:ascii="仿宋_GB2312" w:hAnsi="仿宋_GB2312" w:eastAsia="仿宋_GB2312"/>
          <w:sz w:val="32"/>
        </w:rPr>
        <w:t>阿图什市种子管理站无下属预算单位，下设4个科室，分别是：办公室、检验室、试验室、财务室。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2024年度收入总计389.98万元，</w:t>
      </w:r>
      <w:r>
        <w:rPr>
          <w:rFonts w:ascii="仿宋_GB2312" w:hAnsi="仿宋_GB2312" w:eastAsia="仿宋_GB2312"/>
          <w:b w:val="0"/>
          <w:sz w:val="32"/>
        </w:rPr>
        <w:t>其中：本年收入合计389.98万元，使用非财政拨款结余（含专用结余）0.00万元，年初结转和结余0.00万元。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2024年度支出总计389.98万元，</w:t>
      </w:r>
      <w:r>
        <w:rPr>
          <w:rFonts w:ascii="仿宋_GB2312" w:hAnsi="仿宋_GB2312" w:eastAsia="仿宋_GB2312"/>
          <w:b w:val="0"/>
          <w:sz w:val="32"/>
        </w:rPr>
        <w:t>其中：本年支出合计389.98万元，结余分配0.00万元，年末结转和结余0.00万元。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收入支出总体与上年相比，增加50.79万元，增长14.97%，主要原因是：本年在职人员工资调增，社保、公积金基数调增，人员经费增加。增加2024年自治区农业生产发展资金；增加</w:t>
      </w:r>
      <w:r>
        <w:rPr>
          <w:rFonts w:hint="eastAsia" w:ascii="仿宋_GB2312" w:hAnsi="仿宋_GB2312" w:eastAsia="仿宋_GB2312"/>
          <w:b w:val="0"/>
          <w:sz w:val="32"/>
          <w:lang w:eastAsia="zh-CN"/>
        </w:rPr>
        <w:t>离世</w:t>
      </w:r>
      <w:r>
        <w:rPr>
          <w:rFonts w:ascii="仿宋_GB2312" w:hAnsi="仿宋_GB2312" w:eastAsia="仿宋_GB2312"/>
          <w:b w:val="0"/>
          <w:sz w:val="32"/>
        </w:rPr>
        <w:t>人员抚恤金。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本年收入389.98万元，</w:t>
      </w:r>
      <w:r>
        <w:rPr>
          <w:rFonts w:ascii="仿宋_GB2312" w:hAnsi="仿宋_GB2312" w:eastAsia="仿宋_GB2312"/>
          <w:b w:val="0"/>
          <w:sz w:val="32"/>
        </w:rPr>
        <w:t>其中：财政拨款收入389.98万元，占100.00%；上级补助收入0.00万元，占0.00%；事业收入0.00万元，占0.00%；经营收入0.00万元，占0.00%；附属单位上缴收入0.00万元，占0.00%；其他收入0.00万元，占0.00%。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本年支出389.98万元，</w:t>
      </w:r>
      <w:r>
        <w:rPr>
          <w:rFonts w:ascii="仿宋_GB2312" w:hAnsi="仿宋_GB2312" w:eastAsia="仿宋_GB2312"/>
          <w:b w:val="0"/>
          <w:sz w:val="32"/>
        </w:rPr>
        <w:t>其中：基本支出324.98万元，占83.33%；项目支出65.00万元，占16.67%；上缴上级支出0.00万元，占0.00%；经营支出0.00万元，占0.00%；对附属单位补助支出0.00万元，占0.00%。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2024年度财政拨款收入总计389.98万元，</w:t>
      </w:r>
      <w:r>
        <w:rPr>
          <w:rFonts w:ascii="仿宋_GB2312" w:hAnsi="仿宋_GB2312" w:eastAsia="仿宋_GB2312"/>
          <w:b w:val="0"/>
          <w:sz w:val="32"/>
        </w:rPr>
        <w:t>其中：年初财政拨款结转和结余0.00万元，本年财政拨款收入389.98万元。</w:t>
      </w:r>
      <w:r>
        <w:rPr>
          <w:rFonts w:ascii="仿宋_GB2312" w:hAnsi="仿宋_GB2312" w:eastAsia="仿宋_GB2312"/>
          <w:b/>
          <w:sz w:val="32"/>
        </w:rPr>
        <w:t>财政拨款支出总计389.98万元，</w:t>
      </w:r>
      <w:r>
        <w:rPr>
          <w:rFonts w:ascii="仿宋_GB2312" w:hAnsi="仿宋_GB2312" w:eastAsia="仿宋_GB2312"/>
          <w:b w:val="0"/>
          <w:sz w:val="32"/>
        </w:rPr>
        <w:t>其中：年末财政拨款结转和结余0.00万元，本年财政拨款支出389.98万元。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增加50.79万元，增长14.97%，主要原因是：本年在职人员工资调增，社保、公积金基数调增，人员经费增加。增加2024年自治区农业生产发展资金；增加</w:t>
      </w:r>
      <w:r>
        <w:rPr>
          <w:rFonts w:hint="eastAsia" w:ascii="仿宋_GB2312" w:hAnsi="仿宋_GB2312" w:eastAsia="仿宋_GB2312"/>
          <w:b w:val="0"/>
          <w:sz w:val="32"/>
          <w:lang w:eastAsia="zh-CN"/>
        </w:rPr>
        <w:t>离世</w:t>
      </w:r>
      <w:r>
        <w:rPr>
          <w:rFonts w:ascii="仿宋_GB2312" w:hAnsi="仿宋_GB2312" w:eastAsia="仿宋_GB2312"/>
          <w:b w:val="0"/>
          <w:sz w:val="32"/>
        </w:rPr>
        <w:t>人员抚恤金。</w:t>
      </w:r>
      <w:r>
        <w:rPr>
          <w:rFonts w:ascii="仿宋_GB2312" w:hAnsi="仿宋_GB2312" w:eastAsia="仿宋_GB2312"/>
          <w:b/>
          <w:sz w:val="32"/>
        </w:rPr>
        <w:t>与年初预算相比，</w:t>
      </w:r>
      <w:r>
        <w:rPr>
          <w:rFonts w:ascii="仿宋_GB2312" w:hAnsi="仿宋_GB2312" w:eastAsia="仿宋_GB2312"/>
          <w:b w:val="0"/>
          <w:sz w:val="32"/>
        </w:rPr>
        <w:t>年初预算数324.10万元，决算数389.98万元，预决算差异率20.33%，主要原因是：年中追加2024年自治区农业生产发展资金；年中追加人员工资、社保、公积金基数调增部分资金，导致预决算存在差异。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2024年度一般公共预算财政拨款支出389.98万元，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增加50.79万元，增长14.97%，主要原因是：本年在职人员工资调增，社保、公积金基数调增，人员经费增加。增加2024年自治区农业生产发展资金；增加抚恤金。</w:t>
      </w:r>
      <w:r>
        <w:rPr>
          <w:rFonts w:ascii="仿宋_GB2312" w:hAnsi="仿宋_GB2312" w:eastAsia="仿宋_GB2312"/>
          <w:b/>
          <w:sz w:val="32"/>
        </w:rPr>
        <w:t>与年初预算相比,</w:t>
      </w:r>
      <w:r>
        <w:rPr>
          <w:rFonts w:ascii="仿宋_GB2312" w:hAnsi="仿宋_GB2312" w:eastAsia="仿宋_GB2312"/>
          <w:b w:val="0"/>
          <w:sz w:val="32"/>
        </w:rPr>
        <w:t>年初预算数324.10万元，决算数389.98万元，预决算差异率20.33%，主要原因是：年中追加2024年自治区农业生产发展资金；年中追加人员工资、社保、公积金基数调增部分资金，导致预决算存在差异。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1.社会保障和就业支出(类)60.80万元,占15.59%。</w:t>
      </w:r>
    </w:p>
    <w:p>
      <w:pPr>
        <w:spacing w:line="580" w:lineRule="exact"/>
        <w:ind w:firstLine="640"/>
        <w:jc w:val="both"/>
      </w:pPr>
      <w:r>
        <w:rPr>
          <w:rFonts w:ascii="仿宋_GB2312" w:hAnsi="仿宋_GB2312" w:eastAsia="仿宋_GB2312"/>
          <w:b w:val="0"/>
          <w:sz w:val="32"/>
        </w:rPr>
        <w:t>2.卫生健康支出(类)9.76万元,占2.50%。</w:t>
      </w:r>
    </w:p>
    <w:p>
      <w:pPr>
        <w:spacing w:line="580" w:lineRule="exact"/>
        <w:ind w:firstLine="640"/>
        <w:jc w:val="both"/>
      </w:pPr>
      <w:r>
        <w:rPr>
          <w:rFonts w:ascii="仿宋_GB2312" w:hAnsi="仿宋_GB2312" w:eastAsia="仿宋_GB2312"/>
          <w:b w:val="0"/>
          <w:sz w:val="32"/>
        </w:rPr>
        <w:t>3.农林水支出(类)295.45万元,占75.76%。</w:t>
      </w:r>
    </w:p>
    <w:p>
      <w:pPr>
        <w:spacing w:line="580" w:lineRule="exact"/>
        <w:ind w:firstLine="640"/>
        <w:jc w:val="both"/>
      </w:pPr>
      <w:r>
        <w:rPr>
          <w:rFonts w:ascii="仿宋_GB2312" w:hAnsi="仿宋_GB2312" w:eastAsia="仿宋_GB2312"/>
          <w:b w:val="0"/>
          <w:sz w:val="32"/>
        </w:rPr>
        <w:t>4.住房保障支出(类)23.98万元,占6.15%。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1.社会保障和就业支出(类)行政事业单位养老支出(款)事业单位离退休(项):支出决算数为19.13万元，比上年决算增加3.27万元，增长20.62%,主要原因是：本年增加退休人员基础绩效奖，退休费支出增加。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29.84万元，比上年决算增加4.18万元，增长16.29%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6.04万元，比上年决算增加6.04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4.社会保障和就业支出(类)抚恤(款)死亡抚恤(项):支出决算数为5.79万元，比上年决算增加5.79万元，增长100.00%,主要原因是：本年新增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5.卫生健康支出(类)行政事业单位医疗(款)事业单位医疗(项):支出决算数为9.76万元，比上年决算增加1.78万元，增长22.31%,主要原因是：本年在职人员工资基数调增，医疗缴费基数上涨，相应支出增加。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6.农林水支出(类)农业农村(款)事业运行(项):支出决算数为230.45万元，比上年决算增加17.56万元，增长8.25%,主要原因是：人员工资基数调增，相应</w:t>
      </w:r>
      <w:r>
        <w:rPr>
          <w:rFonts w:hint="eastAsia" w:ascii="仿宋_GB2312" w:hAnsi="仿宋_GB2312" w:eastAsia="仿宋_GB2312"/>
          <w:b w:val="0"/>
          <w:sz w:val="32"/>
          <w:lang w:val="en-US" w:eastAsia="zh-CN"/>
        </w:rPr>
        <w:t>人员经费</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7.农林水支出(类)农业农村(款)农业生产发展(项):支出决算数为65.00万元，比上年决算增加7.00万元，增长12.07%,主要原因是：本年增加自治区农业生产发展资金。</w:t>
      </w:r>
    </w:p>
    <w:p>
      <w:pPr>
        <w:spacing w:line="580" w:lineRule="exact"/>
        <w:ind w:firstLine="640"/>
        <w:jc w:val="both"/>
      </w:pPr>
      <w:r>
        <w:rPr>
          <w:rFonts w:ascii="仿宋_GB2312" w:hAnsi="仿宋_GB2312" w:eastAsia="仿宋_GB2312"/>
          <w:b w:val="0"/>
          <w:sz w:val="32"/>
        </w:rPr>
        <w:t>8.住房保障支出(类)住房改革支出(款)住房公积金(项):支出决算数为23.98万元，比上年决算增加5.18万元，增长27.55%,主要原因是：人员工资基数调增，公积金缴费基数上涨，相应支出增加。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2024年度一般公共预算财政拨款基本支出324.98万元，其中：</w:t>
      </w:r>
      <w:r>
        <w:rPr>
          <w:rFonts w:ascii="仿宋_GB2312" w:hAnsi="仿宋_GB2312" w:eastAsia="仿宋_GB2312"/>
          <w:b/>
          <w:sz w:val="32"/>
        </w:rPr>
        <w:t>人员经费322.28万元，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公用经费2.70万元，</w:t>
      </w:r>
      <w:r>
        <w:rPr>
          <w:rFonts w:ascii="仿宋_GB2312" w:hAnsi="仿宋_GB2312" w:eastAsia="仿宋_GB2312"/>
          <w:b w:val="0"/>
          <w:sz w:val="32"/>
        </w:rPr>
        <w:t>包括：办公费、印刷费、邮电费、差旅费、维修（护）费、公务用车运行维护费。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财政拨款“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2024年度阿图什市种子管理站（事业单位）公用经费支出2.70万元，比上年增加0.01万元，增长0.37%，主要原因是：本年业务量增加，公用经费增加。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2024年度政府采购支出总额65.51万元，其中：政府采购货物支出65.29万元、政府采购工程支出0.00万元、政府采购服务支出0.22万元。</w:t>
      </w:r>
    </w:p>
    <w:p>
      <w:pPr>
        <w:spacing w:line="580" w:lineRule="exact"/>
        <w:ind w:firstLine="640"/>
        <w:jc w:val="both"/>
      </w:pPr>
      <w:r>
        <w:rPr>
          <w:rFonts w:ascii="仿宋_GB2312" w:hAnsi="仿宋_GB2312" w:eastAsia="仿宋_GB2312"/>
          <w:b w:val="0"/>
          <w:sz w:val="32"/>
        </w:rPr>
        <w:t>授予中小企业合同金额65.51万元，占政府采购支出总额的100.00%，其中：授予小微企业合同金额65.51万元，占政府采购支出总额的100.00%。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2,162.25平方米，价值166.51万元。车辆1辆，价值7.00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389.98万元，实际执行总额389.98万元；预算绩效评价项目1个，全年预算数65.00万元，全年执行数65.00万元。预算绩效管理取得的成效：为加强预算管理，规范财务行为，已制定各项管理制度，有效保障了高效履行工作职能，加强了制度建设，打牢绩效管理工作基础。发现的问题及原因：一是对绩效目标偏差问题缺乏有效分析，从而导致填报的内容相对简单。二是在部门整体支出的资金安排和使用上仍有不可预见性，在经费支出科学化精细化管理上还有待加强。下一步改进措施：加强宣传引导，强化绩效观念。党的十八届三中全会作出的《关于全面深化改革若干重大问题的决定》中对政府绩效管理和财政预算管理提出了明确要求，新修订的《中华人民共和国预算法》也对预算绩效管理作出了具体规定，尽快建立并完善预算绩效管理机制也是推进法治型、服务型、节约型政府建设的有效途径和重要举措。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阿图什市种子管理站</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拟定全市种植业的中长期发展规划，并负责组织实施，负责拟定全市农作物，调查和掌握辖区内粮食、经济作物种植状况，开展分类技术指导；积极引进粮食、经济作物新品种、新技术、新成果试验示范推广，负责编制种子市场管理工作规划并组织实施，负责全市农作物种子质量检测，负责新品种引进、试验、示范推广等工作；向农民提供技术服务指导及培训工作；制定业务学习培训计划并做好农业法规及《中华人民共和国种子法》的学习、宣传、贯彻执行、检查工作。    </w:t>
            </w:r>
            <w:r>
              <w:rPr>
                <w:rFonts w:ascii="宋体" w:hAnsi="宋体" w:eastAsia="宋体"/>
                <w:sz w:val="16"/>
              </w:rPr>
              <w:br w:type="textWrapping"/>
            </w:r>
            <w:r>
              <w:rPr>
                <w:rFonts w:ascii="宋体" w:hAnsi="宋体" w:eastAsia="宋体"/>
                <w:sz w:val="16"/>
              </w:rPr>
              <w:t xml:space="preserve">机构设置及人员配置：无下属预算单位，下设3个科室，编制数10，实有人数33人，在职19人，退休14人。 </w:t>
            </w:r>
            <w:r>
              <w:rPr>
                <w:rFonts w:ascii="宋体" w:hAnsi="宋体" w:eastAsia="宋体"/>
                <w:sz w:val="16"/>
              </w:rPr>
              <w:br w:type="textWrapping"/>
            </w:r>
            <w:r>
              <w:rPr>
                <w:rFonts w:ascii="宋体" w:hAnsi="宋体" w:eastAsia="宋体"/>
                <w:sz w:val="16"/>
              </w:rPr>
              <w:t xml:space="preserve">中长期规划：负责拟定全市农作物，调查和掌握辖区内粮食、经济作物种植状况，开展分类技术指导。 </w:t>
            </w:r>
            <w:r>
              <w:rPr>
                <w:rFonts w:ascii="宋体" w:hAnsi="宋体" w:eastAsia="宋体"/>
                <w:sz w:val="16"/>
              </w:rPr>
              <w:br w:type="textWrapping"/>
            </w:r>
            <w:r>
              <w:rPr>
                <w:rFonts w:ascii="宋体" w:hAnsi="宋体" w:eastAsia="宋体"/>
                <w:sz w:val="16"/>
              </w:rPr>
              <w:t>市种子管理站将加强党对“三农”工作的领导，牢固树立新发展理念，在市委、市人民政府的正确领导下，在上级主管部门的精心指导下，认真落实上级各部门的决策部署，依法履行种子管理四项职能和一项任务，即：品种、质量、生产和市场管理及良种推广任务，努力提高农作物种子对农业的贡献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389.98万元，用于保障部门在职19人，退休14人的工资福利、各项补助正常发放及部门单位正常运转，单位预算项目根据年初计划均已完成，在市委、市人民政府的正确领导下，在上级主管部门的精心指导下，认真落实上级各部门的决策部署，依法履行种子管理四项职能和一项任务，即：品种、质量、生产和市场管理及良种推广任务，努力提高农作物种子对农业的贡献率，年度任务中完成相关法律法规和政策宣传次数10次，引进高产、优质冬小麦新品种8个，安排三大农作物对比试验面积8亩，冬小麦种子扩繁田8000亩，新品种冬小麦高产展示田8个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相关法律法规和政策宣传次数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引进高产、优质冬小麦新品种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安排三大农作物对比试验面积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冬小麦种子扩繁田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新品种冬小麦高产展示田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22"/>
        <w:gridCol w:w="58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阿图什市农作物品种审定区城试验站 围栏、监控、农机设备建设项目</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阿图什市种子管理站</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根据《关于提前下达2024年自治区农业生产发展资金预算的通知》克财农</w:t>
            </w:r>
            <w:r>
              <w:rPr>
                <w:rFonts w:hint="eastAsia" w:ascii="宋体" w:hAnsi="宋体"/>
                <w:sz w:val="16"/>
                <w:lang w:eastAsia="zh-CN"/>
              </w:rPr>
              <w:t>〔2023〕44号</w:t>
            </w:r>
            <w:r>
              <w:rPr>
                <w:rFonts w:ascii="宋体" w:hAnsi="宋体" w:eastAsia="宋体"/>
                <w:sz w:val="16"/>
              </w:rPr>
              <w:t xml:space="preserve">文件，下达资金65万元，用于建设主要农作物品种审定区域实验站1座，采购围栏面积1300米，采购仪器设备及农机具设备4台；通过项目的实施，提高实验站建设水平，保证各项重要农作物实验材料的安全性，有效防治牲畜及野兔等动物啃食造成的危害。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65万元，用于建设主要农作物品种审定区域实验站1座，采购围栏面积1300米，采购仪器设备及农机具设备4台；通过项目的实施，提高实验站建设水平，保证各项重要农作物实验材料的安全性，有效防治牲畜及野兔等动物啃食造成的危害。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采购围栏面积</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采购仪器设备及农机具设备数量</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购置设备验收合格率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采购围栏成本</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采购仪器设备及农机具设备成本</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w:t>
            </w:r>
            <w:bookmarkStart w:id="0" w:name="_GoBack"/>
            <w:bookmarkEnd w:id="0"/>
            <w:r>
              <w:rPr>
                <w:rFonts w:ascii="宋体" w:hAnsi="宋体" w:eastAsia="宋体"/>
                <w:sz w:val="16"/>
              </w:rPr>
              <w:t>问题（有/无）</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防治牲畜及野兔等动物啃食造成的危害</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项目实施单位满意度</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AD0CEF"/>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7C1263"/>
    <w:rsid w:val="29116777"/>
    <w:rsid w:val="2A053397"/>
    <w:rsid w:val="2A444FB1"/>
    <w:rsid w:val="2A6064E2"/>
    <w:rsid w:val="2C1965E9"/>
    <w:rsid w:val="2D1136DF"/>
    <w:rsid w:val="2D3535A0"/>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982DFE"/>
    <w:rsid w:val="71473612"/>
    <w:rsid w:val="718F7F65"/>
    <w:rsid w:val="73423603"/>
    <w:rsid w:val="737A5923"/>
    <w:rsid w:val="73C83550"/>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7261</Words>
  <Characters>8180</Characters>
  <Lines>0</Lines>
  <Paragraphs>0</Paragraphs>
  <TotalTime>3</TotalTime>
  <ScaleCrop>false</ScaleCrop>
  <LinksUpToDate>false</LinksUpToDate>
  <CharactersWithSpaces>8203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