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2024年中央财政困难群众救助补助资金</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项目名称：</w:t>
      </w:r>
      <w:r>
        <w:rPr>
          <w:rFonts w:ascii="黑体" w:eastAsia="黑体" w:hAnsi="黑体" w:cs="仿宋_GB2312" w:hint="eastAsia"/>
          <w:color w:val="auto"/>
          <w:kern w:val="0"/>
          <w:sz w:val="32"/>
          <w:szCs w:val="32"/>
          <w:highlight w:val="none"/>
          <w:lang w:eastAsia="zh-CN"/>
        </w:rPr>
        <w:t xml:space="preserve">2024年中央财政困难群众救助补助资金</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eastAsia="zh-CN"/>
        </w:rPr>
        <w:t xml:space="preserve">阿图什市民政局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主管部门：</w:t>
      </w:r>
      <w:r>
        <w:rPr>
          <w:rFonts w:ascii="黑体" w:eastAsia="黑体" w:hAnsi="黑体" w:cs="仿宋_GB2312" w:hint="eastAsia"/>
          <w:color w:val="auto"/>
          <w:kern w:val="0"/>
          <w:sz w:val="32"/>
          <w:szCs w:val="32"/>
          <w:highlight w:val="none"/>
          <w:lang w:eastAsia="zh-CN"/>
        </w:rPr>
        <w:t xml:space="preserve">阿图什市民政局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10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2024年中央财政困难群众救助补助资金</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eastAsia="仿宋_GB2312" w:hAnsi="仿宋_GB2312" w:cs="仿宋_GB2312" w:hint="default"/>
          <w:color w:val="auto"/>
          <w:sz w:val="32"/>
          <w:szCs w:val="32"/>
          <w:highlight w:val="none"/>
          <w:lang w:val="en-US" w:eastAsia="zh-CN"/>
        </w:rPr>
      </w:pPr>
      <w:r>
        <w:rPr>
          <w:rFonts w:ascii="仿宋_GB2312" w:hAnsi="仿宋_GB2312" w:cs="仿宋_GB2312" w:hint="eastAsia"/>
          <w:color w:val="auto"/>
          <w:sz w:val="32"/>
          <w:szCs w:val="32"/>
          <w:highlight w:val="none"/>
        </w:rPr>
        <w:t xml:space="preserve">本项目根据《关于下达2024年中央财政困难群众救助补助资金预算的通知》克财社〔2024〕10号文件政策</w:t>
      </w:r>
      <w:r>
        <w:rPr>
          <w:rFonts w:ascii="仿宋_GB2312" w:hAnsi="仿宋_GB2312" w:cs="仿宋_GB2312" w:hint="eastAsia"/>
          <w:color w:val="auto"/>
          <w:sz w:val="32"/>
          <w:szCs w:val="32"/>
          <w:highlight w:val="none"/>
          <w:lang w:val="en-US" w:eastAsia="zh-CN"/>
        </w:rPr>
        <w:t xml:space="preserve">实施本项目</w:t>
      </w:r>
      <w:r>
        <w:rPr>
          <w:rFonts w:ascii="仿宋_GB2312" w:hAnsi="仿宋_GB2312" w:cs="仿宋_GB2312" w:hint="eastAsia"/>
          <w:color w:val="auto"/>
          <w:sz w:val="32"/>
          <w:szCs w:val="32"/>
          <w:highlight w:val="none"/>
        </w:rPr>
        <w:t xml:space="preserve">，旨在</w:t>
      </w:r>
      <w:r>
        <w:rPr>
          <w:rFonts w:ascii="仿宋_GB2312" w:hAnsi="仿宋_GB2312" w:cs="仿宋_GB2312" w:hint="eastAsia"/>
          <w:color w:val="auto"/>
          <w:sz w:val="32"/>
          <w:szCs w:val="32"/>
          <w:highlight w:val="none"/>
          <w:lang w:val="en-US" w:eastAsia="zh-CN"/>
        </w:rPr>
        <w:t xml:space="preserve">通过保障</w:t>
      </w:r>
      <w:r>
        <w:rPr>
          <w:rFonts w:ascii="仿宋_GB2312" w:hAnsi="仿宋_GB2312" w:cs="仿宋_GB2312" w:hint="eastAsia"/>
          <w:color w:val="auto"/>
          <w:sz w:val="32"/>
          <w:szCs w:val="32"/>
          <w:highlight w:val="none"/>
        </w:rPr>
        <w:t xml:space="preserve">低保、特困人员救助供养、临时救助、流浪乞讨人员救助(含农村留守儿童、困境儿童、流浪乞讨儿童的应急处置、救助帮扶、监护支持精神关爱等未成年人社会保护支出)、孤儿(含艾滋病病毒感染儿童、生活困难家庭中和纳入特困人员救助供养范围的事实无人抚养儿童)</w:t>
      </w:r>
      <w:r>
        <w:rPr>
          <w:rFonts w:ascii="仿宋_GB2312" w:hAnsi="仿宋_GB2312" w:cs="仿宋_GB2312" w:hint="eastAsia"/>
          <w:color w:val="auto"/>
          <w:sz w:val="32"/>
          <w:szCs w:val="32"/>
          <w:highlight w:val="none"/>
          <w:lang w:val="en-US" w:eastAsia="zh-CN"/>
        </w:rPr>
        <w:t xml:space="preserve">的</w:t>
      </w:r>
      <w:r>
        <w:rPr>
          <w:rFonts w:ascii="仿宋_GB2312" w:hAnsi="仿宋_GB2312" w:cs="仿宋_GB2312" w:hint="eastAsia"/>
          <w:color w:val="auto"/>
          <w:sz w:val="32"/>
          <w:szCs w:val="32"/>
          <w:highlight w:val="none"/>
        </w:rPr>
        <w:t xml:space="preserve">基本生活支出</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lang w:val="en-US" w:eastAsia="zh-CN"/>
        </w:rPr>
        <w:t xml:space="preserve">实施本项目为生活无着流浪乞讨人员提供临时食宿、疾病救治、协助返回等救助，并妥善安置返乡受助人员，对流浪未成年人提供特殊优先保护及教育等专业服务，确保其健康成长，对农村留守儿童、困境儿童等存在流浪风险的未成年人以及流浪乞讨儿童开展家庭监护评估、监护支持、精神关爱等工作，为其提供临时照料、医疗救治、心理疏导、行为矫治、社会融入、家庭关系、法律援助等专业服务，从源头上预防未成年人外出流浪，引导地方提高孤儿生活保障水平，孤儿生活保障政策规范高效实施，使孤儿、艾滋病病毒感染儿童和事实无人抚养儿童生活基本得到保障，积极为走失、务工不着、家庭暴力受害者等离家在外的临时遇困人员提供救助，改善困难群众生活条件。</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下达2024年中央财政困难群众救助补助资金预算的通知》克财社【2024】10号文件下达资金4571万元，用于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流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法律援助等专业服务，从源头上预防未成年人外出流浪。7.引导地方提高孤儿生活保障水平，孤儿生活保障政策规范高效实施，使孤儿、艾滋病病毒感染儿童和事实无人抚养儿童生活基本得到保障。8.积极为走失、务工不着、家庭暴力受害者等离家在外的临时遇困人员提供救助。</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w:t>
      </w:r>
      <w:r>
        <w:rPr>
          <w:rFonts w:ascii="仿宋_GB2312" w:hAnsi="仿宋_GB2312" w:cs="仿宋_GB2312" w:hint="eastAsia"/>
          <w:bCs/>
          <w:color w:val="auto"/>
          <w:sz w:val="32"/>
          <w:szCs w:val="30"/>
          <w:highlight w:val="none"/>
          <w:lang w:eastAsia="zh-CN"/>
        </w:rPr>
        <w:t xml:space="preserve">阿图什市民政局</w:t>
      </w:r>
      <w:r>
        <w:rPr>
          <w:rFonts w:ascii="仿宋_GB2312" w:hAnsi="仿宋_GB2312" w:cs="仿宋_GB2312" w:hint="eastAsia"/>
          <w:bCs/>
          <w:color w:val="auto"/>
          <w:sz w:val="32"/>
          <w:szCs w:val="30"/>
          <w:highlight w:val="none"/>
        </w:rPr>
        <w:t xml:space="preserve">,实施单位为</w:t>
      </w:r>
      <w:r>
        <w:rPr>
          <w:rFonts w:ascii="仿宋_GB2312" w:hAnsi="仿宋_GB2312" w:cs="仿宋_GB2312" w:hint="eastAsia"/>
          <w:bCs/>
          <w:color w:val="auto"/>
          <w:sz w:val="32"/>
          <w:szCs w:val="30"/>
          <w:highlight w:val="none"/>
          <w:lang w:eastAsia="zh-CN"/>
        </w:rPr>
        <w:t xml:space="preserve">阿图什市民政局</w:t>
      </w:r>
      <w:r>
        <w:rPr>
          <w:rFonts w:ascii="仿宋_GB2312" w:hAnsi="仿宋_GB2312" w:cs="仿宋_GB2312" w:hint="eastAsia"/>
          <w:bCs/>
          <w:color w:val="auto"/>
          <w:sz w:val="32"/>
          <w:szCs w:val="30"/>
          <w:highlight w:val="none"/>
        </w:rPr>
        <w:t xml:space="preserve">，主要职责</w:t>
      </w:r>
      <w:r>
        <w:rPr>
          <w:rFonts w:ascii="仿宋_GB2312" w:hAnsi="仿宋_GB2312" w:cs="仿宋_GB2312" w:hint="eastAsia"/>
          <w:bCs/>
          <w:color w:val="auto"/>
          <w:sz w:val="32"/>
          <w:szCs w:val="30"/>
          <w:highlight w:val="none"/>
          <w:lang w:val="en-US" w:eastAsia="zh-CN"/>
        </w:rPr>
        <w:t xml:space="preserve">根据</w:t>
      </w:r>
      <w:r>
        <w:rPr>
          <w:rFonts w:ascii="仿宋_GB2312" w:hAnsi="仿宋_GB2312" w:cs="仿宋_GB2312" w:hint="eastAsia"/>
          <w:bCs/>
          <w:color w:val="auto"/>
          <w:sz w:val="32"/>
          <w:szCs w:val="30"/>
          <w:highlight w:val="none"/>
        </w:rPr>
        <w:t xml:space="preserve">保障标准，使低保对象基本生活得到有效保障，及时修订完善救助政策，适度拓宽救助范围</w:t>
      </w:r>
      <w:r>
        <w:rPr>
          <w:rFonts w:ascii="仿宋_GB2312" w:hAnsi="仿宋_GB2312" w:cs="仿宋_GB2312" w:hint="eastAsia"/>
          <w:bCs/>
          <w:color w:val="auto"/>
          <w:sz w:val="32"/>
          <w:szCs w:val="30"/>
          <w:highlight w:val="none"/>
          <w:lang w:eastAsia="zh-CN"/>
        </w:rPr>
        <w:t xml:space="preserve">，全面掌握救助对象财产状况，确保救助对象，做好困难群众救助补助资金的分配、管理和监管工作，对社会救助工作进行监督管理，确保各项救助政策全面落地落实，整合各方资源，提升困难群众的生活品质，</w:t>
      </w:r>
      <w:r>
        <w:rPr>
          <w:rFonts w:ascii="仿宋_GB2312" w:hAnsi="仿宋_GB2312" w:cs="仿宋_GB2312" w:hint="eastAsia"/>
          <w:bCs/>
          <w:color w:val="auto"/>
          <w:sz w:val="32"/>
          <w:szCs w:val="30"/>
          <w:highlight w:val="none"/>
        </w:rPr>
        <w:t xml:space="preserve">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根据《关于下达2024年中央财政困难群众救助补助资金预算的通知》克财社〔2024〕10号文件，下达资金4571万元，共计支出4571万元，用于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流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法律援助等专业服务，从源头上预防未成年人外出流浪。7.引导地方提高孤儿生活保障水平，孤儿生活保障政策规范高效实施，使孤儿、艾滋病病毒感染儿童和事实无人抚养儿童生活基本得到保障。8.积极为走失、务工不着、家庭暴力受害者等离家在外的临时遇困人员提供救助；通过实施本项目改善困难群众生活条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4571万元</w:t>
      </w:r>
      <w:r>
        <w:rPr>
          <w:rStyle w:val="Strong"/>
          <w:rFonts w:ascii="仿宋_GB2312" w:hAnsi="仿宋_GB2312" w:cs="仿宋_GB2312" w:hint="eastAsia"/>
          <w:b w:val="0"/>
          <w:bCs w:val="0"/>
          <w:color w:val="auto"/>
          <w:spacing w:val="-4"/>
          <w:sz w:val="32"/>
          <w:szCs w:val="30"/>
          <w:highlight w:val="none"/>
        </w:rPr>
        <w:t xml:space="preserve">，资金来源为中央专项资金。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eastAsia="zh-CN"/>
        </w:rPr>
        <w:t xml:space="preserve">4571万元</w:t>
      </w:r>
      <w:r>
        <w:rPr>
          <w:rStyle w:val="Strong"/>
          <w:rFonts w:ascii="仿宋_GB2312" w:hAnsi="仿宋_GB2312" w:cs="仿宋_GB2312" w:hint="eastAsia"/>
          <w:b w:val="0"/>
          <w:color w:val="auto"/>
          <w:spacing w:val="-4"/>
          <w:sz w:val="32"/>
          <w:szCs w:val="30"/>
          <w:highlight w:val="none"/>
        </w:rPr>
        <w:t xml:space="preserve">，资金执行率达到</w:t>
      </w:r>
      <w:r>
        <w:rPr>
          <w:rStyle w:val="Strong"/>
          <w:rFonts w:ascii="仿宋_GB2312" w:hAnsi="仿宋_GB2312" w:cs="仿宋_GB2312" w:hint="eastAsia"/>
          <w:b w:val="0"/>
          <w:color w:val="auto"/>
          <w:spacing w:val="-4"/>
          <w:sz w:val="32"/>
          <w:szCs w:val="30"/>
          <w:highlight w:val="none"/>
          <w:lang w:val="en-US" w:eastAsia="zh-CN"/>
        </w:rPr>
        <w:t xml:space="preserve">100%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eastAsia"/>
          <w:b w:val="0"/>
          <w:color w:val="auto"/>
          <w:spacing w:val="-4"/>
          <w:sz w:val="32"/>
          <w:highlight w:val="none"/>
          <w:lang w:val="en-US" w:eastAsia="zh-CN"/>
        </w:rPr>
      </w:pPr>
      <w:r>
        <w:rPr>
          <w:rStyle w:val="Strong"/>
          <w:rFonts w:ascii="仿宋_GB2312" w:hint="eastAsia"/>
          <w:b w:val="0"/>
          <w:color w:val="auto"/>
          <w:spacing w:val="-4"/>
          <w:sz w:val="32"/>
          <w:highlight w:val="none"/>
          <w:lang w:val="en-US" w:eastAsia="zh-CN"/>
        </w:rPr>
        <w:t xml:space="preserve">发放</w:t>
      </w:r>
      <w:r>
        <w:rPr>
          <w:rStyle w:val="Strong"/>
          <w:rFonts w:ascii="仿宋_GB2312" w:hint="eastAsia"/>
          <w:b w:val="0"/>
          <w:color w:val="auto"/>
          <w:spacing w:val="-4"/>
          <w:sz w:val="32"/>
          <w:highlight w:val="none"/>
        </w:rPr>
        <w:t xml:space="preserve">2024年中央财政困难群众救助补助资金4571万元</w:t>
      </w:r>
      <w:r>
        <w:rPr>
          <w:rStyle w:val="Strong"/>
          <w:rFonts w:ascii="仿宋_GB2312" w:hint="eastAsia"/>
          <w:b w:val="0"/>
          <w:color w:val="auto"/>
          <w:spacing w:val="-4"/>
          <w:sz w:val="32"/>
          <w:highlight w:val="none"/>
          <w:lang w:val="en-US"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根据《关于下达2024年中央财政困难群众救助补助资金预算的通知》克财社【2024】10号文件下达资金4571万元，用于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流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法律援助等专业服务，从源头上预防未成年人外出流浪。7.引导地方提高孤儿生活保障水平，孤儿生活保障政策规范高效实施，使孤儿、艾滋病病毒感染儿童和事实无人抚养儿童生活基本得到保障。8.积极为走失、务工不着、家庭暴力受害者等离家在外的临时遇困人员提供救助；</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阶段性目标为：根据《关于下达2024年中央财政困难群众救助补助资金预算的通知》克财社【2024】10号文件下达资金4571万元，用于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流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法律援助等专业服务，从源头上预防未成年人外出流浪。7.引导地方提高孤儿生活保障水平，孤儿生活保障政策规范高效实施，使孤儿、艾滋病病毒感染儿童和事实无人抚养儿童生活基本得到保障。8.积极为走失、务工不着、家庭暴力受害者等离家在外的临时遇困人员提供救助。</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2024年中央财政困难群众救助补助资金</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_GB2312" w:cs="仿宋_GB2312" w:hint="eastAsia"/>
          <w:b/>
          <w:color w:val="auto"/>
          <w:sz w:val="32"/>
          <w:highlight w:val="none"/>
          <w:lang w:eastAsia="zh-CN"/>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（3）激励约束。绩效评价结果应用</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中央财政困难群众救助补助资金项目的深入调研基础上，按照《项目支出绩效评价管理办法》（财预〔2021〕10号）对于指标体系的要求和规范，建立一套适合评价2024年中央财政困难群众救助补助资金的指标体系，从项目决策、项目过程、项目产出和项目绩效四个维度全面考察2024年中央财政困难群众救助补助资金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hAnsi="仿宋_GB2312" w:cs="仿宋_GB2312" w:hint="eastAsia"/>
          <w:color w:val="auto"/>
          <w:sz w:val="32"/>
          <w:szCs w:val="24"/>
          <w:highlight w:val="none"/>
          <w:lang w:val="en-US" w:eastAsia="zh-CN" w:bidi="ar-SA"/>
        </w:rPr>
        <w:t xml:space="preserve">2024年中央财政困难群众救助补助资金</w:t>
      </w:r>
      <w:r>
        <w:rPr>
          <w:rFonts w:ascii="仿宋_GB2312" w:eastAsia="仿宋_GB2312" w:hAnsi="仿宋_GB2312" w:cs="仿宋_GB2312" w:hint="eastAsia"/>
          <w:color w:val="auto"/>
          <w:sz w:val="32"/>
          <w:szCs w:val="24"/>
          <w:highlight w:val="none"/>
          <w:lang w:val="en-US" w:eastAsia="zh-CN" w:bidi="ar-SA"/>
        </w:rPr>
        <w:t xml:space="preserve">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曾博</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阿尼古力</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张雪纯</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中央财政困难群众救助补助资金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组织管理、产出与效益效果。在此基础上，以相关的项目数据为基础，综合运用不同的评价方法，结合评价标准和评分规则，2024年中央财政困难群众救助补助资金综合得分为100分，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2024年中央财政困难群众救助补助资金评价得分情况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hAnsi="仿宋_GB2312" w:cs="仿宋_GB2312" w:hint="eastAsia"/>
                <w:color w:val="auto"/>
                <w:sz w:val="32"/>
                <w:szCs w:val="32"/>
                <w:highlight w:val="none"/>
                <w:lang w:eastAsia="zh-CN"/>
              </w:rPr>
              <w:t xml:space="preserve">100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2024年中央财政困难群众救助补助资金项目</w:t>
      </w:r>
      <w:r>
        <w:rPr>
          <w:rFonts w:ascii="仿宋_GB2312" w:hAnsi="仿宋_GB2312" w:cs="仿宋_GB2312" w:hint="eastAsia"/>
          <w:color w:val="auto"/>
          <w:sz w:val="32"/>
          <w:szCs w:val="32"/>
          <w:highlight w:val="none"/>
        </w:rPr>
        <w:t xml:space="preserve">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项目共计支出4571万元，用于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流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法律援助等专业服务，从源头上预防未成年人外出流浪。7.引导地方提高孤儿生活保障水平，孤儿生活保障政策规范高效实施，使孤儿、艾滋病病毒感染儿童和事实无人抚养儿童生活基本得到保障。8.积极为走失、务工不着、家庭暴力受害者等离家在外的临时遇困人员提供救助；通过实施本项目改善困难群众生活条件。</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val="en-US" w:eastAsia="zh-CN" w:bidi="ar-SA"/>
        </w:rPr>
        <w:t xml:space="preserve">2024年中央财政困难群众救助补助资金</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eastAsia="zh-CN"/>
        </w:rPr>
        <w:t xml:space="preserve">4571万元</w:t>
      </w:r>
      <w:r>
        <w:rPr>
          <w:rFonts w:ascii="仿宋_GB2312" w:hAnsi="仿宋_GB2312" w:cs="仿宋_GB2312" w:hint="eastAsia"/>
          <w:color w:val="auto"/>
          <w:sz w:val="32"/>
          <w:szCs w:val="32"/>
          <w:highlight w:val="none"/>
        </w:rPr>
        <w:t xml:space="preserve">，评价得分值</w:t>
      </w:r>
      <w:r>
        <w:rPr>
          <w:rFonts w:ascii="仿宋_GB2312" w:hAnsi="仿宋_GB2312" w:cs="仿宋_GB2312" w:hint="eastAsia"/>
          <w:color w:val="auto"/>
          <w:sz w:val="32"/>
          <w:szCs w:val="32"/>
          <w:highlight w:val="none"/>
          <w:lang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lang w:eastAsia="zh-CN"/>
        </w:rPr>
        <w:t xml:space="preserve">中央财政困难群众救助补助资金</w:t>
      </w:r>
      <w:r>
        <w:rPr>
          <w:rFonts w:ascii="仿宋_GB2312" w:hAnsi="仿宋_GB2312" w:cs="仿宋_GB2312" w:hint="eastAsia"/>
          <w:color w:val="auto"/>
          <w:sz w:val="32"/>
          <w:szCs w:val="32"/>
          <w:highlight w:val="none"/>
        </w:rPr>
        <w:t xml:space="preserve">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2024年中央财政困难群众救助补助资金</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2024年中央财政困难群众救助补助资金</w:t>
      </w:r>
      <w:r>
        <w:rPr>
          <w:rFonts w:ascii="仿宋_GB2312" w:hAnsi="仿宋_GB2312" w:cs="仿宋_GB2312" w:hint="eastAsia"/>
          <w:color w:val="auto"/>
          <w:sz w:val="32"/>
          <w:szCs w:val="32"/>
          <w:highlight w:val="none"/>
        </w:rPr>
        <w:t xml:space="preserve">组织形式，明确了该项目经费的开支范围为规范城乡低保政策实施，合理确定保障标准，使低保对象基本生活得到有效保障；统筹城乡特困人员救助供养工作，合理确定保障标准，规范实施临时救助政策，实现及时高效、救急解难；为生活无着流浪乞讨人员提供临时食宿、疾病救治、协助返回等救助，并妥善安置返乡受助人员；对流浪未成年人提供特殊优先保护及教育等专业服务，确保其健康成长，对农村留守儿童、困境儿童等存在流浪风险的未成年人以及流浪乞讨儿童开展家庭监护评估、监护支持、精神关爱等工作，为其提供临时照料、医疗救治、心理疏导、行为矫治、社会融入、家庭关系、法律援助等专业服务，从源头上预防未成年人外出流浪；引导地方提高孤儿生活保障水平，孤儿生活保障政策规范高效实施，使孤儿、艾滋病病毒感染儿童和事实无人抚养儿童生活基本得到保障；积极为走失、务工不着、家庭暴力受害者等离家在外的临时遇困人员提供救助，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（4）依照财政资金管理制度，按照不定期检查与项目周期检查相结合的方式，对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资金在分配使用过程中的违纪违规现象的发生，确保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2024年中央财政困难群众救助补助资金</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数量指标为城乡居民低保保障率，预期指标值为等于100%，实际完成值为100%，指标达到预期目标。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数量指标为特困供养保障率，预期指标值为等于100%，实际完成值为100%，指标达到预期目标。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数量指标为求助的流浪乞讨人员救助率，预期指标值为大于等于95%，实际完成值为95%，指标达到预期目标。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数量指标为孤儿、艾滋病病毒感染儿童、生活困难家庭中的和纳入特困人员救助供养范围的事实无人抚养儿童纳入保障范围率，预期指标值为大于等于90%，实际完成值为90%，指标达到预期目标。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数量指标为患病孤残儿童救助率，预期指标值为大于等于90%，实际完成值为90%，指标达到预期目标。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质量指标为城乡低保标准，预期指标值为稳步提高，实际完成值为稳步提高，指标达到预期目标。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质量指标为城乡特困人员救助供养标准，预期指标值为不低于上年，实际完成值为不低于上年，指标达到预期目标。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质量指标为临时救助水平，预期指标值为不低于上年，实际完成值为不低于上年，指标达到预期目标。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质量指标为建立社会救助家庭居民经济状况核对机制的县（市、区）比例，预期指标值为大于等于92%，实际完成值为92%，指标达到预期目标。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质量指标为孤儿、艾滋病病毒感染儿童、事实无人抚养儿童认定准确率，预期指标值为大于等于90%，实际完成值为90%，指标达到预期目标。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质量指标为资金使用合规率，预期指标值为等于100%，实际完成值为100%，指标达到预期目标。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时效指标为困难群众基本生活救助和孤儿基本生活费按时发放率，预期指标值为大于等于90%，实际完成值为90%，指标达到预期目标。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时效指标为流浪乞讨人员求助要求当天登记救助率，预期指标值为大于等于95%，实际完成值为95%，指标达到预期目标。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firstLine="640" w:leftChars="20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int="eastAsia"/>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eastAsia"/>
          <w:bCs/>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Cs/>
          <w:color w:val="auto"/>
          <w:sz w:val="32"/>
          <w:szCs w:val="32"/>
          <w:highlight w:val="none"/>
        </w:rPr>
      </w:pPr>
      <w:r>
        <w:rPr>
          <w:rFonts w:ascii="仿宋_GB2312" w:hAnsi="仿宋" w:cs="宋体" w:hint="eastAsia"/>
          <w:bCs/>
          <w:color w:val="auto"/>
          <w:sz w:val="32"/>
          <w:szCs w:val="32"/>
          <w:highlight w:val="none"/>
        </w:rPr>
        <w:t xml:space="preserve">社会效益指标为困难群众生活水平情况，预期指标值为有所提升，实际完成值为有所提升，指标达到预期目标。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Cs/>
          <w:color w:val="auto"/>
          <w:sz w:val="32"/>
          <w:szCs w:val="32"/>
          <w:highlight w:val="none"/>
        </w:rPr>
      </w:pPr>
      <w:r>
        <w:rPr>
          <w:rFonts w:ascii="仿宋_GB2312" w:hAnsi="仿宋" w:cs="宋体" w:hint="eastAsia"/>
          <w:bCs/>
          <w:color w:val="auto"/>
          <w:sz w:val="32"/>
          <w:szCs w:val="32"/>
          <w:highlight w:val="none"/>
        </w:rPr>
        <w:t xml:space="preserve">社会效益指标为帮助查明身份滞留流浪乞讨人员返乡情况，预期指标值为及时送返，实际完成值为及时送返，指标达到预期目标。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ascii="仿宋_GB2312" w:hAnsi="仿宋" w:cs="宋体" w:hint="eastAsia"/>
          <w:bCs/>
          <w:color w:val="auto"/>
          <w:sz w:val="32"/>
          <w:szCs w:val="32"/>
          <w:highlight w:val="none"/>
        </w:rPr>
        <w:t xml:space="preserve">社会效益指标为走失、务工不着、家庭暴力受害者等离家在外的临时遇困人员提供救助服务率，预期指标值为大于等于95%，实际完成值为95%，指标达到预期目标。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default"/>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4．满意度指标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满意度指标为救助对象对社会救助实施的满意度，预期指标值为大于等于90%，</w:t>
      </w:r>
      <w:r>
        <w:rPr>
          <w:rFonts w:ascii="仿宋_GB2312" w:hAnsi="仿宋" w:cs="宋体" w:hint="eastAsia"/>
          <w:bCs/>
          <w:color w:val="auto"/>
          <w:sz w:val="32"/>
          <w:szCs w:val="32"/>
          <w:highlight w:val="none"/>
        </w:rPr>
        <w:t xml:space="preserve">经问卷调查，</w:t>
      </w:r>
      <w:r>
        <w:rPr>
          <w:rFonts w:ascii="仿宋_GB2312" w:hAnsi="仿宋" w:cs="宋体" w:hint="eastAsia"/>
          <w:bCs/>
          <w:color w:val="auto"/>
          <w:sz w:val="32"/>
          <w:szCs w:val="32"/>
          <w:highlight w:val="none"/>
        </w:rPr>
        <w:t xml:space="preserve">实际完成值为90%，指标达到预期目标。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color w:val="auto"/>
          <w:sz w:val="36"/>
          <w:szCs w:val="32"/>
          <w:highlight w:val="none"/>
        </w:rPr>
      </w:pPr>
      <w:r>
        <w:rPr>
          <w:rFonts w:hint="eastAsia"/>
          <w:color w:val="auto"/>
          <w:sz w:val="32"/>
          <w:highlight w:val="none"/>
          <w:lang w:val="en-US" w:eastAsia="zh-CN"/>
        </w:rPr>
        <w:t xml:space="preserve">无</w:t>
      </w:r>
      <w:r>
        <w:rPr>
          <w:rFonts w:hint="eastAsia"/>
          <w:color w:val="auto"/>
          <w:sz w:val="32"/>
          <w:highlight w:val="none"/>
        </w:rPr>
        <w:t xml:space="preserve">。</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 xml:space="preserve">无。</w:t>
      </w:r>
    </w:p>
    <w:p>
      <w:pPr>
        <w:pStyle w:val="Heading3"/>
        <w:rPr>
          <w:rFonts w:hint="eastAsia"/>
          <w:color w:val="auto"/>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noWrap w:val="0"/>
            <w:vAlign w:val="center"/>
          </w:tcPr>
          <w:p>
            <w:pPr>
              <w:widowControl/>
              <w:spacing w:line="400" w:lineRule="exact"/>
              <w:jc w:val="center"/>
              <w:rPr>
                <w:rFonts w:ascii="仿宋_GB2312" w:eastAsia="仿宋_GB2312" w:hAnsi="仿宋_GB2312" w:cs="仿宋_GB2312" w:hint="eastAsia"/>
                <w:color w:val="auto"/>
                <w:kern w:val="0"/>
                <w:sz w:val="24"/>
                <w:highlight w:val="none"/>
                <w:lang w:eastAsia="zh-CN"/>
              </w:rPr>
            </w:pPr>
            <w:r>
              <w:rPr>
                <w:rFonts w:ascii="仿宋_GB2312" w:hAnsi="仿宋_GB2312" w:cs="仿宋_GB2312" w:hint="eastAsia"/>
                <w:color w:val="auto"/>
                <w:kern w:val="0"/>
                <w:sz w:val="24"/>
                <w:highlight w:val="none"/>
                <w:lang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18E74569FB454D589BAF26346153AF72_13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5</TotalTime>
  <Pages>24</Pages>
  <Words>4070</Words>
  <Characters>4203</Characters>
  <Application>WPS Office_12.1.0.15120_F1E327BC-269C-435d-A152-05C5408002CA</Application>
  <DocSecurity>0</DocSecurity>
  <Lines>56</Lines>
  <Paragraphs>15</Paragraphs>
  <Company>P R C</Company>
  <CharactersWithSpaces>4205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2025-09-05T07:54:52Z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18E74569FB454D589BAF26346153AF72_13</vt:lpwstr>
  </property>
  <property fmtid="{D5CDD505-2E9C-101B-9397-08002B2CF9AE}" pid="4" name="KSOTemplateDocerSaveRecord">
    <vt:lpwstr>eyJoZGlkIjoiNDI0NDJkOGYwMTkzMjYxMzMxMmY2Njg1ZjNkYzk2MzkiLCJ1c2VySWQiOiIzMzAyMjM5MTcifQ_x003D__x003D_</vt:lpwstr>
  </property>
</Properties>
</file>