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91577AE">
      <w:r>
        <w:br w:type="page"/>
      </w:r>
    </w:p>
    <w:p w14:paraId="632DA0FD">
      <w:pPr>
        <w:spacing w:line="640" w:lineRule="exact"/>
        <w:jc w:val="center"/>
        <w:outlineLvl w:val="1"/>
      </w:pPr>
      <w:r>
        <w:rPr>
          <w:rFonts w:ascii="黑体" w:hAnsi="黑体" w:eastAsia="黑体"/>
          <w:sz w:val="32"/>
        </w:rPr>
        <w:t>第一部分 单位概况</w:t>
      </w:r>
    </w:p>
    <w:p w14:paraId="1414DC3A">
      <w:pPr>
        <w:spacing w:line="640" w:lineRule="exact"/>
        <w:ind w:firstLine="640"/>
        <w:jc w:val="both"/>
        <w:outlineLvl w:val="2"/>
      </w:pPr>
      <w:r>
        <w:rPr>
          <w:rFonts w:ascii="黑体" w:hAnsi="黑体" w:eastAsia="黑体"/>
          <w:sz w:val="32"/>
        </w:rPr>
        <w:t>一、主要职能</w:t>
      </w:r>
    </w:p>
    <w:p w14:paraId="40C70118">
      <w:pPr>
        <w:spacing w:line="580" w:lineRule="exact"/>
        <w:ind w:firstLine="640"/>
        <w:jc w:val="both"/>
      </w:pPr>
      <w:r>
        <w:rPr>
          <w:rFonts w:ascii="仿宋_GB2312" w:hAnsi="仿宋_GB2312" w:eastAsia="仿宋_GB2312"/>
          <w:sz w:val="32"/>
        </w:rPr>
        <w:t>负责对全市财政收支和法律法规规定属于审计监督范围的财务收支的真实、合法和效益进行审计监督，维护财政经济秩序，提高财政资金使用效益，促进廉政建设，保障国民经济和社会健康发展。对审计、专项审计调查和核查社会审计机构相关审计报告的结果承担责任，并负有督促被审计单位整改的责任。</w:t>
      </w:r>
    </w:p>
    <w:p w14:paraId="2C358FF1">
      <w:pPr>
        <w:spacing w:line="640" w:lineRule="exact"/>
        <w:ind w:firstLine="640"/>
        <w:jc w:val="both"/>
        <w:outlineLvl w:val="2"/>
      </w:pPr>
      <w:r>
        <w:rPr>
          <w:rFonts w:ascii="黑体" w:hAnsi="黑体" w:eastAsia="黑体"/>
          <w:sz w:val="32"/>
        </w:rPr>
        <w:t>二、机构设置及人员情况</w:t>
      </w:r>
    </w:p>
    <w:p w14:paraId="3E57E710">
      <w:pPr>
        <w:spacing w:line="580" w:lineRule="exact"/>
        <w:ind w:firstLine="640"/>
        <w:jc w:val="both"/>
      </w:pPr>
      <w:r>
        <w:rPr>
          <w:rFonts w:ascii="仿宋_GB2312" w:hAnsi="仿宋_GB2312" w:eastAsia="仿宋_GB2312"/>
          <w:sz w:val="32"/>
        </w:rPr>
        <w:t>阿图什市审计局2024年度，实有人数27人，其中：在职人员18人，增加2人；离休人员0人，增加0人；退休人员9人,增加0人。</w:t>
      </w:r>
    </w:p>
    <w:p w14:paraId="611C910A">
      <w:pPr>
        <w:spacing w:line="580" w:lineRule="exact"/>
        <w:ind w:firstLine="640"/>
        <w:jc w:val="both"/>
      </w:pPr>
      <w:r>
        <w:rPr>
          <w:rFonts w:ascii="仿宋_GB2312" w:hAnsi="仿宋_GB2312" w:eastAsia="仿宋_GB2312"/>
          <w:sz w:val="32"/>
        </w:rPr>
        <w:t>阿图什市审计局无下属预算单位，下设6个科室，分别是：办公室、经济责任审计室、电子数据审计室、固定资产和涉外投资审计室、法规审理督查室、财政金融企业审计室。</w:t>
      </w:r>
    </w:p>
    <w:p w14:paraId="6FFB1BFC">
      <w:r>
        <w:br w:type="page"/>
      </w:r>
    </w:p>
    <w:p w14:paraId="33240940">
      <w:pPr>
        <w:spacing w:line="240" w:lineRule="auto"/>
        <w:jc w:val="center"/>
        <w:outlineLvl w:val="1"/>
      </w:pPr>
      <w:r>
        <w:rPr>
          <w:rFonts w:ascii="黑体" w:hAnsi="黑体" w:eastAsia="黑体"/>
          <w:sz w:val="32"/>
        </w:rPr>
        <w:t>第二部分 部门决算情况说明</w:t>
      </w:r>
    </w:p>
    <w:p w14:paraId="6B122F81">
      <w:pPr>
        <w:spacing w:line="640" w:lineRule="exact"/>
        <w:ind w:firstLine="640"/>
        <w:jc w:val="both"/>
        <w:outlineLvl w:val="2"/>
      </w:pPr>
      <w:r>
        <w:rPr>
          <w:rFonts w:ascii="黑体" w:hAnsi="黑体" w:eastAsia="黑体"/>
          <w:sz w:val="32"/>
        </w:rPr>
        <w:t>一、收入支出决算总体情况说明</w:t>
      </w:r>
    </w:p>
    <w:p w14:paraId="13963821">
      <w:pPr>
        <w:spacing w:line="580" w:lineRule="exact"/>
        <w:ind w:firstLine="640"/>
        <w:jc w:val="both"/>
      </w:pPr>
      <w:r>
        <w:rPr>
          <w:rFonts w:ascii="仿宋_GB2312" w:hAnsi="仿宋_GB2312" w:eastAsia="仿宋_GB2312"/>
          <w:b/>
          <w:sz w:val="32"/>
        </w:rPr>
        <w:t>2024年度收入总计513.72万元，</w:t>
      </w:r>
      <w:r>
        <w:rPr>
          <w:rFonts w:ascii="仿宋_GB2312" w:hAnsi="仿宋_GB2312" w:eastAsia="仿宋_GB2312"/>
          <w:b w:val="0"/>
          <w:sz w:val="32"/>
        </w:rPr>
        <w:t>其中：本年收入合计459.91万元，使用非财政拨款结余（含专用结余）0.00万元，年初结转和结余53.80万元。</w:t>
      </w:r>
    </w:p>
    <w:p w14:paraId="0270F1C8">
      <w:pPr>
        <w:spacing w:line="580" w:lineRule="exact"/>
        <w:ind w:firstLine="640"/>
        <w:jc w:val="both"/>
      </w:pPr>
      <w:r>
        <w:rPr>
          <w:rFonts w:ascii="仿宋_GB2312" w:hAnsi="仿宋_GB2312" w:eastAsia="仿宋_GB2312"/>
          <w:b/>
          <w:sz w:val="32"/>
        </w:rPr>
        <w:t>2024年度支出总计513.72万元，</w:t>
      </w:r>
      <w:r>
        <w:rPr>
          <w:rFonts w:ascii="仿宋_GB2312" w:hAnsi="仿宋_GB2312" w:eastAsia="仿宋_GB2312"/>
          <w:b w:val="0"/>
          <w:sz w:val="32"/>
        </w:rPr>
        <w:t>其中：本年支出合计461.68万元，结余分配0.00万元，年末结转和结余52.04万元。</w:t>
      </w:r>
    </w:p>
    <w:p w14:paraId="373E59DE">
      <w:pPr>
        <w:spacing w:line="580" w:lineRule="exact"/>
        <w:ind w:firstLine="640"/>
        <w:jc w:val="both"/>
      </w:pPr>
      <w:r>
        <w:rPr>
          <w:rFonts w:ascii="仿宋_GB2312" w:hAnsi="仿宋_GB2312" w:eastAsia="仿宋_GB2312"/>
          <w:b w:val="0"/>
          <w:sz w:val="32"/>
        </w:rPr>
        <w:t>收入支出总体与上年相比，增加154.55万元，增长43.03%，主要原因是：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2020年造价咨询费、昆山援疆项目审计业务经费等项目。</w:t>
      </w:r>
    </w:p>
    <w:p w14:paraId="3E0B8F01">
      <w:pPr>
        <w:spacing w:line="640" w:lineRule="exact"/>
        <w:ind w:firstLine="640"/>
        <w:jc w:val="both"/>
        <w:outlineLvl w:val="2"/>
      </w:pPr>
      <w:r>
        <w:rPr>
          <w:rFonts w:ascii="黑体" w:hAnsi="黑体" w:eastAsia="黑体"/>
          <w:sz w:val="32"/>
        </w:rPr>
        <w:t>二、收入决算情况说明</w:t>
      </w:r>
    </w:p>
    <w:p w14:paraId="1F6C9F61">
      <w:pPr>
        <w:spacing w:line="580" w:lineRule="exact"/>
        <w:ind w:firstLine="640"/>
        <w:jc w:val="both"/>
      </w:pPr>
      <w:r>
        <w:rPr>
          <w:rFonts w:ascii="仿宋_GB2312" w:hAnsi="仿宋_GB2312" w:eastAsia="仿宋_GB2312"/>
          <w:b/>
          <w:sz w:val="32"/>
        </w:rPr>
        <w:t>本年收入459.91万元，</w:t>
      </w:r>
      <w:r>
        <w:rPr>
          <w:rFonts w:ascii="仿宋_GB2312" w:hAnsi="仿宋_GB2312" w:eastAsia="仿宋_GB2312"/>
          <w:b w:val="0"/>
          <w:sz w:val="32"/>
        </w:rPr>
        <w:t>其中：财政拨款收入403.41万元，占87.71%；上级补助收入0.00万元，占0.00%；事业收入0.00万元，占0.00%；经营收入0.00万元，占0.00%；附属单位上缴收入0.00万元，占0.00%；其他收入56.51万元，占12.29%。</w:t>
      </w:r>
    </w:p>
    <w:p w14:paraId="01DEE6D1">
      <w:pPr>
        <w:spacing w:line="640" w:lineRule="exact"/>
        <w:ind w:firstLine="640"/>
        <w:jc w:val="both"/>
        <w:outlineLvl w:val="2"/>
      </w:pPr>
      <w:r>
        <w:rPr>
          <w:rFonts w:ascii="黑体" w:hAnsi="黑体" w:eastAsia="黑体"/>
          <w:sz w:val="32"/>
        </w:rPr>
        <w:t>三、支出决算情况说明</w:t>
      </w:r>
    </w:p>
    <w:p w14:paraId="2F7AB2EF">
      <w:pPr>
        <w:spacing w:line="580" w:lineRule="exact"/>
        <w:ind w:firstLine="640"/>
        <w:jc w:val="both"/>
      </w:pPr>
      <w:r>
        <w:rPr>
          <w:rFonts w:ascii="仿宋_GB2312" w:hAnsi="仿宋_GB2312" w:eastAsia="仿宋_GB2312"/>
          <w:b/>
          <w:sz w:val="32"/>
        </w:rPr>
        <w:t>本年支出461.68万元，</w:t>
      </w:r>
      <w:r>
        <w:rPr>
          <w:rFonts w:ascii="仿宋_GB2312" w:hAnsi="仿宋_GB2312" w:eastAsia="仿宋_GB2312"/>
          <w:b w:val="0"/>
          <w:sz w:val="32"/>
        </w:rPr>
        <w:t>其中：基本支出311.86万元，占67.55%；项目支出149.82万元，占32.45%；上缴上级支出0.00万元，占0.00%；经营支出0.00万元，占0.00%；对附属单位补助支出0.00万元，占0.00%。</w:t>
      </w:r>
    </w:p>
    <w:p w14:paraId="26B437DA">
      <w:pPr>
        <w:spacing w:line="640" w:lineRule="exact"/>
        <w:ind w:firstLine="640"/>
        <w:jc w:val="both"/>
        <w:outlineLvl w:val="2"/>
      </w:pPr>
      <w:r>
        <w:rPr>
          <w:rFonts w:ascii="黑体" w:hAnsi="黑体" w:eastAsia="黑体"/>
          <w:sz w:val="32"/>
        </w:rPr>
        <w:t>四、财政拨款收入支出决算总体情况说明</w:t>
      </w:r>
    </w:p>
    <w:p w14:paraId="5D8C79A4">
      <w:pPr>
        <w:spacing w:line="580" w:lineRule="exact"/>
        <w:ind w:firstLine="640"/>
        <w:jc w:val="both"/>
      </w:pPr>
      <w:r>
        <w:rPr>
          <w:rFonts w:ascii="仿宋_GB2312" w:hAnsi="仿宋_GB2312" w:eastAsia="仿宋_GB2312"/>
          <w:b/>
          <w:sz w:val="32"/>
        </w:rPr>
        <w:t>2024年度财政拨款收入总计403.41万元，</w:t>
      </w:r>
      <w:r>
        <w:rPr>
          <w:rFonts w:ascii="仿宋_GB2312" w:hAnsi="仿宋_GB2312" w:eastAsia="仿宋_GB2312"/>
          <w:b w:val="0"/>
          <w:sz w:val="32"/>
        </w:rPr>
        <w:t>其中：年初财政拨款结转和结余0.00万元，本年财政拨款收入403.41万元。</w:t>
      </w:r>
      <w:r>
        <w:rPr>
          <w:rFonts w:ascii="仿宋_GB2312" w:hAnsi="仿宋_GB2312" w:eastAsia="仿宋_GB2312"/>
          <w:b/>
          <w:sz w:val="32"/>
        </w:rPr>
        <w:t>财政拨款支出总计403.41万元，</w:t>
      </w:r>
      <w:r>
        <w:rPr>
          <w:rFonts w:ascii="仿宋_GB2312" w:hAnsi="仿宋_GB2312" w:eastAsia="仿宋_GB2312"/>
          <w:b w:val="0"/>
          <w:sz w:val="32"/>
        </w:rPr>
        <w:t>其中：年末财政拨款结转和结余0.00万元，本年财政拨款支出403.41万元。</w:t>
      </w:r>
    </w:p>
    <w:p w14:paraId="76ECDB5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增加105.91万元，增长35.60%，主要原因是：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2020年造价咨询费等项目。</w:t>
      </w:r>
      <w:r>
        <w:rPr>
          <w:rFonts w:ascii="仿宋_GB2312" w:hAnsi="仿宋_GB2312" w:eastAsia="仿宋_GB2312"/>
          <w:b/>
          <w:sz w:val="32"/>
        </w:rPr>
        <w:t>与年初预算相比，</w:t>
      </w:r>
      <w:r>
        <w:rPr>
          <w:rFonts w:ascii="仿宋_GB2312" w:hAnsi="仿宋_GB2312" w:eastAsia="仿宋_GB2312"/>
          <w:b w:val="0"/>
          <w:sz w:val="32"/>
        </w:rPr>
        <w:t>年初预算数322.98万元，决算数403.41万元，预决算差异率24.90%，主要原因是：年中追加2024年度乡村振兴专项审计经费项目、2016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2020年造价咨询费等项目，导致预决算差异。</w:t>
      </w:r>
    </w:p>
    <w:p w14:paraId="3392886A">
      <w:pPr>
        <w:spacing w:line="640" w:lineRule="exact"/>
        <w:ind w:firstLine="640"/>
        <w:jc w:val="both"/>
        <w:outlineLvl w:val="2"/>
      </w:pPr>
      <w:r>
        <w:rPr>
          <w:rFonts w:ascii="黑体" w:hAnsi="黑体" w:eastAsia="黑体"/>
          <w:sz w:val="32"/>
        </w:rPr>
        <w:t>五、一般公共预算财政拨款支出决算情况说明</w:t>
      </w:r>
    </w:p>
    <w:p w14:paraId="2853CFF8">
      <w:pPr>
        <w:spacing w:line="640" w:lineRule="exact"/>
        <w:ind w:firstLine="640"/>
        <w:jc w:val="both"/>
        <w:outlineLvl w:val="3"/>
      </w:pPr>
      <w:r>
        <w:rPr>
          <w:rFonts w:ascii="楷体_GB2312" w:hAnsi="楷体_GB2312" w:eastAsia="楷体_GB2312"/>
          <w:b/>
          <w:sz w:val="32"/>
        </w:rPr>
        <w:t>（一）一般公共预算财政拨款支出决算总体情况</w:t>
      </w:r>
    </w:p>
    <w:p w14:paraId="4B28C6AE">
      <w:pPr>
        <w:spacing w:line="580" w:lineRule="exact"/>
        <w:ind w:firstLine="640"/>
        <w:jc w:val="both"/>
      </w:pPr>
      <w:r>
        <w:rPr>
          <w:rFonts w:ascii="仿宋_GB2312" w:hAnsi="仿宋_GB2312" w:eastAsia="仿宋_GB2312"/>
          <w:b/>
          <w:sz w:val="32"/>
        </w:rPr>
        <w:t>2024年度一般公共预算财政拨款支出403.41万元，</w:t>
      </w:r>
      <w:r>
        <w:rPr>
          <w:rFonts w:ascii="仿宋_GB2312" w:hAnsi="仿宋_GB2312" w:eastAsia="仿宋_GB2312"/>
          <w:b w:val="0"/>
          <w:sz w:val="32"/>
        </w:rPr>
        <w:t>占本年支出合计的87.38%。</w:t>
      </w:r>
      <w:r>
        <w:rPr>
          <w:rFonts w:ascii="仿宋_GB2312" w:hAnsi="仿宋_GB2312" w:eastAsia="仿宋_GB2312"/>
          <w:b/>
          <w:sz w:val="32"/>
        </w:rPr>
        <w:t>与上年相比，</w:t>
      </w:r>
      <w:r>
        <w:rPr>
          <w:rFonts w:ascii="仿宋_GB2312" w:hAnsi="仿宋_GB2312" w:eastAsia="仿宋_GB2312"/>
          <w:b w:val="0"/>
          <w:sz w:val="32"/>
        </w:rPr>
        <w:t>增加105.91万元，增长35.60%，主要原因是：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2020年造价咨询费等项目。</w:t>
      </w:r>
      <w:r>
        <w:rPr>
          <w:rFonts w:ascii="仿宋_GB2312" w:hAnsi="仿宋_GB2312" w:eastAsia="仿宋_GB2312"/>
          <w:b/>
          <w:sz w:val="32"/>
        </w:rPr>
        <w:t>与年初预算相比,</w:t>
      </w:r>
      <w:r>
        <w:rPr>
          <w:rFonts w:ascii="仿宋_GB2312" w:hAnsi="仿宋_GB2312" w:eastAsia="仿宋_GB2312"/>
          <w:b w:val="0"/>
          <w:sz w:val="32"/>
        </w:rPr>
        <w:t>年初预算数322.98万元，决算数403.41万元，预决算差异率24.90%，主要原因是：年中追加2024年度乡村振兴专项审计经费项目、2016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2020年造价咨询费等项目，导致预决算差异。</w:t>
      </w:r>
    </w:p>
    <w:p w14:paraId="25AF37D5">
      <w:pPr>
        <w:spacing w:line="640" w:lineRule="exact"/>
        <w:ind w:firstLine="640"/>
        <w:jc w:val="both"/>
        <w:outlineLvl w:val="3"/>
      </w:pPr>
      <w:r>
        <w:rPr>
          <w:rFonts w:ascii="楷体_GB2312" w:hAnsi="楷体_GB2312" w:eastAsia="楷体_GB2312"/>
          <w:b/>
          <w:sz w:val="32"/>
        </w:rPr>
        <w:t>（二）一般公共预算财政拨款支出决算结构情况</w:t>
      </w:r>
    </w:p>
    <w:p w14:paraId="2A30C79A">
      <w:pPr>
        <w:spacing w:line="580" w:lineRule="exact"/>
        <w:ind w:firstLine="640"/>
        <w:jc w:val="both"/>
      </w:pPr>
      <w:r>
        <w:rPr>
          <w:rFonts w:ascii="仿宋_GB2312" w:hAnsi="仿宋_GB2312" w:eastAsia="仿宋_GB2312"/>
          <w:b w:val="0"/>
          <w:sz w:val="32"/>
        </w:rPr>
        <w:t>1.一般公共服务支出(类)321.39万元,占79.67%。</w:t>
      </w:r>
    </w:p>
    <w:p w14:paraId="2AFF31C0">
      <w:pPr>
        <w:spacing w:line="580" w:lineRule="exact"/>
        <w:ind w:firstLine="640"/>
        <w:jc w:val="both"/>
      </w:pPr>
      <w:r>
        <w:rPr>
          <w:rFonts w:ascii="仿宋_GB2312" w:hAnsi="仿宋_GB2312" w:eastAsia="仿宋_GB2312"/>
          <w:b w:val="0"/>
          <w:sz w:val="32"/>
        </w:rPr>
        <w:t>2.社会保障和就业支出(类)48.14万元,占11.93%。</w:t>
      </w:r>
    </w:p>
    <w:p w14:paraId="0185BFE0">
      <w:pPr>
        <w:spacing w:line="580" w:lineRule="exact"/>
        <w:ind w:firstLine="640"/>
        <w:jc w:val="both"/>
      </w:pPr>
      <w:r>
        <w:rPr>
          <w:rFonts w:ascii="仿宋_GB2312" w:hAnsi="仿宋_GB2312" w:eastAsia="仿宋_GB2312"/>
          <w:b w:val="0"/>
          <w:sz w:val="32"/>
        </w:rPr>
        <w:t>3.卫生健康支出(类)9.67万元,占2.40%。</w:t>
      </w:r>
    </w:p>
    <w:p w14:paraId="5AEAE42A">
      <w:pPr>
        <w:spacing w:line="580" w:lineRule="exact"/>
        <w:ind w:firstLine="640"/>
        <w:jc w:val="both"/>
      </w:pPr>
      <w:r>
        <w:rPr>
          <w:rFonts w:ascii="仿宋_GB2312" w:hAnsi="仿宋_GB2312" w:eastAsia="仿宋_GB2312"/>
          <w:b w:val="0"/>
          <w:sz w:val="32"/>
        </w:rPr>
        <w:t>4.住房保障支出(类)24.20万元,占6.00%。</w:t>
      </w:r>
    </w:p>
    <w:p w14:paraId="225A9BA0">
      <w:pPr>
        <w:spacing w:line="640" w:lineRule="exact"/>
        <w:ind w:firstLine="640"/>
        <w:jc w:val="both"/>
        <w:outlineLvl w:val="3"/>
      </w:pPr>
      <w:r>
        <w:rPr>
          <w:rFonts w:ascii="楷体_GB2312" w:hAnsi="楷体_GB2312" w:eastAsia="楷体_GB2312"/>
          <w:b/>
          <w:sz w:val="32"/>
        </w:rPr>
        <w:t>（三）一般公共预算财政拨款支出决算具体情况</w:t>
      </w:r>
    </w:p>
    <w:p w14:paraId="32B26E85">
      <w:pPr>
        <w:spacing w:line="580" w:lineRule="exact"/>
        <w:ind w:firstLine="640"/>
        <w:jc w:val="both"/>
      </w:pPr>
      <w:r>
        <w:rPr>
          <w:rFonts w:ascii="仿宋_GB2312" w:hAnsi="仿宋_GB2312" w:eastAsia="仿宋_GB2312"/>
          <w:b w:val="0"/>
          <w:sz w:val="32"/>
        </w:rPr>
        <w:t>1.一般公共服务支出(类)审计事务(款)行政运行(项):支出决算数为175.71万元，比上年决算增加14.28万元，增长8.85%,主要原因是：本年新增在职人员，人员经费增加，导致经费较上年有所增加。</w:t>
      </w:r>
    </w:p>
    <w:p w14:paraId="5C384161">
      <w:pPr>
        <w:spacing w:line="580" w:lineRule="exact"/>
        <w:ind w:firstLine="640"/>
        <w:jc w:val="both"/>
      </w:pPr>
      <w:r>
        <w:rPr>
          <w:rFonts w:ascii="仿宋_GB2312" w:hAnsi="仿宋_GB2312" w:eastAsia="仿宋_GB2312"/>
          <w:b w:val="0"/>
          <w:sz w:val="32"/>
        </w:rPr>
        <w:t>2.一般公共服务支出(类)审计事务(款)审计业务(项):支出决算数为1.74万元，比上年决算增加1.74万元，增长100.00%,主要原因是：增加2024年度乡村振兴专项审计经费项目。</w:t>
      </w:r>
    </w:p>
    <w:p w14:paraId="19508621">
      <w:pPr>
        <w:spacing w:line="580" w:lineRule="exact"/>
        <w:ind w:firstLine="640"/>
        <w:jc w:val="both"/>
      </w:pPr>
      <w:r>
        <w:rPr>
          <w:rFonts w:ascii="仿宋_GB2312" w:hAnsi="仿宋_GB2312" w:eastAsia="仿宋_GB2312"/>
          <w:b w:val="0"/>
          <w:sz w:val="32"/>
        </w:rPr>
        <w:t>3.一般公共服务支出(类)审计事务(款)事业运行(项):支出决算数为54.14万元，比上年决算减少1.29万元，下降2.33%,主要原因是：本年事业在职人员工资补贴中的岗位津贴减少，导致人员经费较上年减少。</w:t>
      </w:r>
    </w:p>
    <w:p w14:paraId="7FD98E08">
      <w:pPr>
        <w:spacing w:line="580" w:lineRule="exact"/>
        <w:ind w:firstLine="640"/>
        <w:jc w:val="both"/>
      </w:pPr>
      <w:r>
        <w:rPr>
          <w:rFonts w:ascii="仿宋_GB2312" w:hAnsi="仿宋_GB2312" w:eastAsia="仿宋_GB2312"/>
          <w:b w:val="0"/>
          <w:sz w:val="32"/>
        </w:rPr>
        <w:t>4.一般公共服务支出(类)审计事务(款)其他审计事务支出(项):支出决算数为88.36万元，比上年决算增加75.26万元，增长574.50%,主要原因是：本年增加2016</w:t>
      </w:r>
      <w:r>
        <w:rPr>
          <w:rFonts w:hint="eastAsia" w:ascii="仿宋_GB2312" w:hAnsi="仿宋_GB2312" w:eastAsia="仿宋_GB2312"/>
          <w:b w:val="0"/>
          <w:sz w:val="32"/>
          <w:lang w:eastAsia="zh-CN"/>
        </w:rPr>
        <w:t>—</w:t>
      </w:r>
      <w:r>
        <w:rPr>
          <w:rFonts w:ascii="仿宋_GB2312" w:hAnsi="仿宋_GB2312" w:eastAsia="仿宋_GB2312"/>
          <w:b w:val="0"/>
          <w:sz w:val="32"/>
        </w:rPr>
        <w:t>2020年造价咨询费项目。</w:t>
      </w:r>
    </w:p>
    <w:p w14:paraId="46BB8BC5">
      <w:pPr>
        <w:spacing w:line="580" w:lineRule="exact"/>
        <w:ind w:firstLine="640"/>
        <w:jc w:val="both"/>
      </w:pPr>
      <w:r>
        <w:rPr>
          <w:rFonts w:ascii="仿宋_GB2312" w:hAnsi="仿宋_GB2312" w:eastAsia="仿宋_GB2312"/>
          <w:b w:val="0"/>
          <w:sz w:val="32"/>
        </w:rPr>
        <w:t>5.一般公共服务支出(类)组织事务(款)其他组织事务支出(项):支出决算数为1.45万元，比上年决算减少1.71万元，下降54.11%,主要原因是：本年第一书记工作经费较上年减少。</w:t>
      </w:r>
    </w:p>
    <w:p w14:paraId="3B5F43D8">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6.社会保障和就业支出(类)行政事业单位养老支出(款)行政单位离退休(项):支出决算数为11.64万元，比上年决算增加1.38万元，增长13.45%,主要原因是：本年增加退休人员基础绩效奖，退休费支出增加。</w:t>
      </w:r>
    </w:p>
    <w:p w14:paraId="0FCAFD04">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7.社会保障和就业支出(类)行政事业单位养老支出(款)事业单位离退休(项):支出决算数为1.11万元，比上年决算增加0.68万元，增长158.14%,主要原因是：本年增加退休人员基础绩效奖，退休费支出增加。</w:t>
      </w:r>
    </w:p>
    <w:p w14:paraId="6C62F454">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29.63万元，比上年决算增加5.33万元，增长21.93%,主要原因是：本年在职人员增加，养老保险缴费较上年增加。</w:t>
      </w:r>
    </w:p>
    <w:p w14:paraId="2948B742">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5.76万元，比上年决算增加5.76万元，增长100.00%,主要原因是：本年功能科目调整，机关事业单位职业年金缴费上年度在主科目列支，本年单独列支，导致经费较上年增加。</w:t>
      </w:r>
    </w:p>
    <w:p w14:paraId="1AFC819F">
      <w:pPr>
        <w:spacing w:line="580" w:lineRule="exact"/>
        <w:ind w:firstLine="640"/>
        <w:jc w:val="both"/>
      </w:pPr>
      <w:r>
        <w:rPr>
          <w:rFonts w:ascii="仿宋_GB2312" w:hAnsi="仿宋_GB2312" w:eastAsia="仿宋_GB2312"/>
          <w:b w:val="0"/>
          <w:sz w:val="32"/>
        </w:rPr>
        <w:t>10.卫生健康支出(类)行政事业单位医疗(款)行政单位医疗(项):支出决算数为6.83万元，比上年决算减少0.21万元，下降2.98%,主要原因是：因退休人员医疗保险制度改革，退休人员基本医疗不再由单位缴纳，导致经费较上年减少。</w:t>
      </w:r>
    </w:p>
    <w:p w14:paraId="266385B5">
      <w:pPr>
        <w:spacing w:line="580" w:lineRule="exact"/>
        <w:ind w:firstLine="640"/>
        <w:jc w:val="both"/>
      </w:pPr>
      <w:r>
        <w:rPr>
          <w:rFonts w:ascii="仿宋_GB2312" w:hAnsi="仿宋_GB2312" w:eastAsia="仿宋_GB2312"/>
          <w:b w:val="0"/>
          <w:sz w:val="32"/>
        </w:rPr>
        <w:t>11.卫生健康支出(类)行政事业单位医疗(款)事业单位医疗(项):支出决算数为2.84万元，比上年决算增加1.07万元，增长60.45%,主要原因是：本年在职人员增加，事业单位医疗较上年增加。</w:t>
      </w:r>
    </w:p>
    <w:p w14:paraId="41709839">
      <w:pPr>
        <w:spacing w:line="580" w:lineRule="exact"/>
        <w:ind w:firstLine="640"/>
        <w:jc w:val="both"/>
      </w:pPr>
      <w:r>
        <w:rPr>
          <w:rFonts w:ascii="仿宋_GB2312" w:hAnsi="仿宋_GB2312" w:eastAsia="仿宋_GB2312"/>
          <w:b w:val="0"/>
          <w:sz w:val="32"/>
        </w:rPr>
        <w:t>12.住房保障支出(类)住房改革支出(款)住房公积金(项):支出决算数为24.20万元，比上年决算增加3.60万元，增长17.48%,主要原因是：本年在职人员增加，住房公积金支出较上年增加。</w:t>
      </w:r>
    </w:p>
    <w:p w14:paraId="0CF4F2D4">
      <w:pPr>
        <w:spacing w:line="640" w:lineRule="exact"/>
        <w:ind w:firstLine="640"/>
        <w:jc w:val="both"/>
        <w:outlineLvl w:val="2"/>
      </w:pPr>
      <w:r>
        <w:rPr>
          <w:rFonts w:ascii="黑体" w:hAnsi="黑体" w:eastAsia="黑体"/>
          <w:sz w:val="32"/>
        </w:rPr>
        <w:t>六、一般公共预算财政拨款基本支出决算情况说明</w:t>
      </w:r>
    </w:p>
    <w:p w14:paraId="221EA968">
      <w:pPr>
        <w:spacing w:line="580" w:lineRule="exact"/>
        <w:ind w:firstLine="640"/>
        <w:jc w:val="both"/>
      </w:pPr>
      <w:r>
        <w:rPr>
          <w:rFonts w:ascii="仿宋_GB2312" w:hAnsi="仿宋_GB2312" w:eastAsia="仿宋_GB2312"/>
          <w:b w:val="0"/>
          <w:sz w:val="32"/>
        </w:rPr>
        <w:t>2024年度一般公共预算财政拨款基本支出311.86万元，其中：</w:t>
      </w:r>
      <w:r>
        <w:rPr>
          <w:rFonts w:ascii="仿宋_GB2312" w:hAnsi="仿宋_GB2312" w:eastAsia="仿宋_GB2312"/>
          <w:b/>
          <w:sz w:val="32"/>
        </w:rPr>
        <w:t>人员经费308.40万元，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14:paraId="63809355">
      <w:pPr>
        <w:spacing w:line="580" w:lineRule="exact"/>
        <w:ind w:firstLine="640"/>
        <w:jc w:val="both"/>
      </w:pPr>
      <w:r>
        <w:rPr>
          <w:rFonts w:ascii="仿宋_GB2312" w:hAnsi="仿宋_GB2312" w:eastAsia="仿宋_GB2312"/>
          <w:b/>
          <w:sz w:val="32"/>
        </w:rPr>
        <w:t>公用经费3.46万元，</w:t>
      </w:r>
      <w:r>
        <w:rPr>
          <w:rFonts w:ascii="仿宋_GB2312" w:hAnsi="仿宋_GB2312" w:eastAsia="仿宋_GB2312"/>
          <w:b w:val="0"/>
          <w:sz w:val="32"/>
        </w:rPr>
        <w:t>包括：办公费、印刷费、邮电费、维修（护）费、公务用车运行维护费。</w:t>
      </w:r>
    </w:p>
    <w:p w14:paraId="17E8B309">
      <w:pPr>
        <w:spacing w:line="640" w:lineRule="exact"/>
        <w:ind w:firstLine="640"/>
        <w:jc w:val="both"/>
        <w:outlineLvl w:val="2"/>
      </w:pPr>
      <w:r>
        <w:rPr>
          <w:rFonts w:ascii="黑体" w:hAnsi="黑体" w:eastAsia="黑体"/>
          <w:sz w:val="32"/>
        </w:rPr>
        <w:t>七、政府性基金预算财政拨款收入支出决算情况说明</w:t>
      </w:r>
    </w:p>
    <w:p w14:paraId="00B2D45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F4478C">
      <w:pPr>
        <w:spacing w:line="640" w:lineRule="exact"/>
        <w:ind w:firstLine="640"/>
        <w:jc w:val="both"/>
        <w:outlineLvl w:val="2"/>
      </w:pPr>
      <w:r>
        <w:rPr>
          <w:rFonts w:ascii="黑体" w:hAnsi="黑体" w:eastAsia="黑体"/>
          <w:sz w:val="32"/>
        </w:rPr>
        <w:t>八、国有资本经营预算财政拨款收入支出决算情况说明</w:t>
      </w:r>
    </w:p>
    <w:p w14:paraId="7B4313E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91A0E0A">
      <w:pPr>
        <w:spacing w:line="640" w:lineRule="exact"/>
        <w:ind w:firstLine="640"/>
        <w:jc w:val="both"/>
        <w:outlineLvl w:val="2"/>
      </w:pPr>
      <w:r>
        <w:rPr>
          <w:rFonts w:ascii="黑体" w:hAnsi="黑体" w:eastAsia="黑体"/>
          <w:sz w:val="32"/>
        </w:rPr>
        <w:t>九、财政拨款“三公”经费支出决算情况说明</w:t>
      </w:r>
    </w:p>
    <w:p w14:paraId="0853A441">
      <w:pPr>
        <w:spacing w:line="580" w:lineRule="exact"/>
        <w:ind w:firstLine="640"/>
        <w:jc w:val="both"/>
      </w:pPr>
      <w:r>
        <w:rPr>
          <w:rFonts w:ascii="仿宋_GB2312" w:hAnsi="仿宋_GB2312" w:eastAsia="仿宋_GB2312"/>
          <w:b/>
          <w:sz w:val="32"/>
        </w:rPr>
        <w:t>2024年度财政拨款“三公”经费支出1.07万元，</w:t>
      </w:r>
      <w:r>
        <w:rPr>
          <w:rFonts w:ascii="仿宋_GB2312" w:hAnsi="仿宋_GB2312" w:eastAsia="仿宋_GB2312"/>
          <w:b w:val="0"/>
          <w:sz w:val="32"/>
        </w:rPr>
        <w:t>比上年减少1.76万元，下降62.19%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1.07万元，占100.00%，比上年减少1.76万元，下降62.19%，主要原因是：严格落实中央八项规定精神，厉行节约，减少公务用车运行维护费。公务接待费支出0.00万元，占0.00%，比上年增加0.00万元，增长0.00%，主要原因是：2023年与2024年均未安排公务接待费支出。</w:t>
      </w:r>
    </w:p>
    <w:p w14:paraId="1081F101">
      <w:pPr>
        <w:spacing w:line="580" w:lineRule="exact"/>
        <w:ind w:firstLine="640"/>
        <w:jc w:val="both"/>
      </w:pPr>
      <w:r>
        <w:rPr>
          <w:rFonts w:ascii="仿宋_GB2312" w:hAnsi="仿宋_GB2312" w:eastAsia="仿宋_GB2312"/>
          <w:b/>
          <w:sz w:val="32"/>
        </w:rPr>
        <w:t>具体情况如下：</w:t>
      </w:r>
    </w:p>
    <w:p w14:paraId="6ADE525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B6F81AD">
      <w:pPr>
        <w:spacing w:line="580" w:lineRule="exact"/>
        <w:ind w:firstLine="640"/>
        <w:jc w:val="both"/>
      </w:pPr>
      <w:r>
        <w:rPr>
          <w:rFonts w:ascii="仿宋_GB2312" w:hAnsi="仿宋_GB2312" w:eastAsia="仿宋_GB2312"/>
          <w:b w:val="0"/>
          <w:sz w:val="32"/>
        </w:rPr>
        <w:t>公务用车购置及运行维护费1.07万元，其中：公务用车购置费0.00万元，公务用车运行维护费1.07万元。公务用车运行维护费开支内容包括车辆加油费、维修费。公务用车购置数0辆，公务用车保有量2辆。国有资产占用情况中固定资产车辆2辆，与公务用车保有量差异原因是：本单位固定资产车辆与公务用车保有量一致无差异。</w:t>
      </w:r>
    </w:p>
    <w:p w14:paraId="64529DA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C779AA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1.07万元，决算数1.07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1.07万元，决算数1.07万元，预决算差异率0.00%，主要原因是：严格按照预算执行，预决算无差异。公务接待费全年预算数0.00万元，决算数0.00万元，预决算差异率0.00%，主要原因是：本单位无公务接待费。</w:t>
      </w:r>
    </w:p>
    <w:p w14:paraId="2A8928D0">
      <w:pPr>
        <w:spacing w:line="640" w:lineRule="exact"/>
        <w:ind w:firstLine="640"/>
        <w:jc w:val="both"/>
        <w:outlineLvl w:val="2"/>
      </w:pPr>
      <w:r>
        <w:rPr>
          <w:rFonts w:ascii="黑体" w:hAnsi="黑体" w:eastAsia="黑体"/>
          <w:sz w:val="32"/>
        </w:rPr>
        <w:t>十、其他重要事项的情况说明</w:t>
      </w:r>
    </w:p>
    <w:p w14:paraId="30562E72">
      <w:pPr>
        <w:spacing w:line="640" w:lineRule="exact"/>
        <w:ind w:firstLine="640"/>
        <w:jc w:val="both"/>
        <w:outlineLvl w:val="3"/>
      </w:pPr>
      <w:r>
        <w:rPr>
          <w:rFonts w:ascii="楷体_GB2312" w:hAnsi="楷体_GB2312" w:eastAsia="楷体_GB2312"/>
          <w:b/>
          <w:sz w:val="32"/>
        </w:rPr>
        <w:t>（一）机关运行经费及公用经费支出情况</w:t>
      </w:r>
    </w:p>
    <w:p w14:paraId="2704074A">
      <w:pPr>
        <w:spacing w:line="580" w:lineRule="exact"/>
        <w:ind w:firstLine="640"/>
        <w:jc w:val="both"/>
      </w:pPr>
      <w:r>
        <w:rPr>
          <w:rFonts w:ascii="仿宋_GB2312" w:hAnsi="仿宋_GB2312" w:eastAsia="仿宋_GB2312"/>
          <w:b w:val="0"/>
          <w:sz w:val="32"/>
        </w:rPr>
        <w:t>2024年度阿图什市审计局（行政单位和参照公务员法管理事业单位）机关运行经费支出3.46万元，比上年减少14.64万元，下降80.88%，主要原因是：</w:t>
      </w:r>
      <w:r>
        <w:rPr>
          <w:rFonts w:hint="eastAsia" w:ascii="仿宋_GB2312" w:hAnsi="仿宋_GB2312" w:eastAsia="仿宋_GB2312"/>
          <w:b w:val="0"/>
          <w:sz w:val="32"/>
        </w:rPr>
        <w:t>本年办公费、印刷费、邮电费、差旅费等公用经费减少，导致机关运行经费减少</w:t>
      </w:r>
      <w:r>
        <w:rPr>
          <w:rFonts w:ascii="仿宋_GB2312" w:hAnsi="仿宋_GB2312" w:eastAsia="仿宋_GB2312"/>
          <w:b w:val="0"/>
          <w:sz w:val="32"/>
        </w:rPr>
        <w:t>。</w:t>
      </w:r>
    </w:p>
    <w:p w14:paraId="1958A8F9">
      <w:pPr>
        <w:spacing w:line="640" w:lineRule="exact"/>
        <w:ind w:firstLine="640"/>
        <w:jc w:val="both"/>
        <w:outlineLvl w:val="3"/>
      </w:pPr>
      <w:r>
        <w:rPr>
          <w:rFonts w:ascii="楷体_GB2312" w:hAnsi="楷体_GB2312" w:eastAsia="楷体_GB2312"/>
          <w:b/>
          <w:sz w:val="32"/>
        </w:rPr>
        <w:t>（二）政府采购情况</w:t>
      </w:r>
    </w:p>
    <w:p w14:paraId="77235D8B">
      <w:pPr>
        <w:spacing w:line="580" w:lineRule="exact"/>
        <w:ind w:firstLine="640"/>
        <w:jc w:val="both"/>
      </w:pPr>
      <w:r>
        <w:rPr>
          <w:rFonts w:ascii="仿宋_GB2312" w:hAnsi="仿宋_GB2312" w:eastAsia="仿宋_GB2312"/>
          <w:b w:val="0"/>
          <w:sz w:val="32"/>
        </w:rPr>
        <w:t>2024年度政府采购支出总额22.80万元，其中：政府采购货物支出18.33万元、政府采购工程支出0.00万元、政府采购服务支出4.47万元。</w:t>
      </w:r>
    </w:p>
    <w:p w14:paraId="14737EA4">
      <w:pPr>
        <w:spacing w:line="580" w:lineRule="exact"/>
        <w:ind w:firstLine="640"/>
        <w:jc w:val="both"/>
      </w:pPr>
      <w:r>
        <w:rPr>
          <w:rFonts w:ascii="仿宋_GB2312" w:hAnsi="仿宋_GB2312" w:eastAsia="仿宋_GB2312"/>
          <w:b w:val="0"/>
          <w:sz w:val="32"/>
        </w:rPr>
        <w:t>授予中小企业合同金额20.95万元，占政府采购支出总额的91.89%，其中：授予小微企业合同金额6.97万元，占政府采购支出总额的30.57%。</w:t>
      </w:r>
    </w:p>
    <w:p w14:paraId="0676888C">
      <w:pPr>
        <w:spacing w:line="640" w:lineRule="exact"/>
        <w:ind w:firstLine="640"/>
        <w:jc w:val="both"/>
        <w:outlineLvl w:val="3"/>
      </w:pPr>
      <w:r>
        <w:rPr>
          <w:rFonts w:ascii="楷体_GB2312" w:hAnsi="楷体_GB2312" w:eastAsia="楷体_GB2312"/>
          <w:b/>
          <w:sz w:val="32"/>
        </w:rPr>
        <w:t>（三）国有资产占用情况说明</w:t>
      </w:r>
    </w:p>
    <w:p w14:paraId="66EC4F1B">
      <w:pPr>
        <w:spacing w:line="580" w:lineRule="exact"/>
        <w:ind w:firstLine="640"/>
        <w:jc w:val="both"/>
      </w:pPr>
      <w:r>
        <w:rPr>
          <w:rFonts w:ascii="仿宋_GB2312" w:hAnsi="仿宋_GB2312" w:eastAsia="仿宋_GB2312"/>
          <w:b w:val="0"/>
          <w:sz w:val="32"/>
        </w:rPr>
        <w:t>截至2024年12月31日，房屋200.00平方米，价值8.87万元。车辆2辆，价值27.54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37602E1">
      <w:pPr>
        <w:spacing w:line="640" w:lineRule="exact"/>
        <w:ind w:firstLine="640"/>
        <w:jc w:val="both"/>
        <w:outlineLvl w:val="2"/>
      </w:pPr>
      <w:r>
        <w:rPr>
          <w:rFonts w:ascii="黑体" w:hAnsi="黑体" w:eastAsia="黑体"/>
          <w:sz w:val="32"/>
        </w:rPr>
        <w:t>十一、预算绩效的情况说明</w:t>
      </w:r>
    </w:p>
    <w:p w14:paraId="47DCFDC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513.72万元，实际执行总额461.68万元；预算绩效评价项目3个，全年预算数103.72万元，全年执行数90.09万元。预算绩效管理取得的成效：主要是管理制度完善、责任落实到位，跟踪考核机制完善且运行有效，在项目实施过程中创新管理办法，采用成本效益分析法、比较法、因素分析法使项目取得了良好的效果。发现的问题及原因：绩效目标编制有待进一步完善。在编制绩效目标时对绩效指标未进行量化，指标设立不清晰，不便于绩效考核。下一步改进措施：一是开展进度的跟踪，确保项目绩效目标的完成。二是规范程序，严格把关。进一步完善项目申报、审核、公示、审批等程序，严格做好项目信息公开，公开内容要及时、完整、真实，确保项目公平、公开、公正。具体附整体支出绩效自评表，项目支出绩效自评表和评价报告。</w:t>
      </w:r>
    </w:p>
    <w:p w14:paraId="0BE7028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89FE512">
        <w:tblPrEx>
          <w:tblCellMar>
            <w:top w:w="0" w:type="dxa"/>
            <w:left w:w="108" w:type="dxa"/>
            <w:bottom w:w="0" w:type="dxa"/>
            <w:right w:w="108" w:type="dxa"/>
          </w:tblCellMar>
        </w:tblPrEx>
        <w:tc>
          <w:tcPr>
            <w:tcW w:w="8840" w:type="dxa"/>
            <w:gridSpan w:val="8"/>
            <w:vAlign w:val="center"/>
          </w:tcPr>
          <w:p w14:paraId="7C3A2A3E">
            <w:pPr>
              <w:jc w:val="center"/>
            </w:pPr>
            <w:r>
              <w:rPr>
                <w:rFonts w:ascii="宋体" w:hAnsi="宋体" w:eastAsia="宋体"/>
                <w:sz w:val="24"/>
              </w:rPr>
              <w:t>单位整体支出绩效自评表</w:t>
            </w:r>
          </w:p>
        </w:tc>
      </w:tr>
      <w:tr w14:paraId="7EC1D5ED">
        <w:tblPrEx>
          <w:tblCellMar>
            <w:top w:w="0" w:type="dxa"/>
            <w:left w:w="108" w:type="dxa"/>
            <w:bottom w:w="0" w:type="dxa"/>
            <w:right w:w="108" w:type="dxa"/>
          </w:tblCellMar>
        </w:tblPrEx>
        <w:tc>
          <w:tcPr>
            <w:tcW w:w="8840" w:type="dxa"/>
            <w:gridSpan w:val="8"/>
            <w:vAlign w:val="center"/>
          </w:tcPr>
          <w:p w14:paraId="6A9BB0D6">
            <w:pPr>
              <w:jc w:val="center"/>
            </w:pPr>
            <w:r>
              <w:rPr>
                <w:rFonts w:ascii="宋体" w:hAnsi="宋体" w:eastAsia="宋体"/>
                <w:sz w:val="24"/>
              </w:rPr>
              <w:t>（2024年度）</w:t>
            </w:r>
          </w:p>
        </w:tc>
      </w:tr>
      <w:tr w14:paraId="4297049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402A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66E9EC">
            <w:pPr>
              <w:jc w:val="center"/>
            </w:pPr>
            <w:r>
              <w:rPr>
                <w:rFonts w:ascii="宋体" w:hAnsi="宋体" w:eastAsia="宋体"/>
                <w:sz w:val="16"/>
              </w:rPr>
              <w:t>阿图什市审计局</w:t>
            </w:r>
          </w:p>
        </w:tc>
      </w:tr>
      <w:tr w14:paraId="150C74D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7784B">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6E62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10FD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1BFDA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54761">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8B72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E5E3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8825AC">
            <w:pPr>
              <w:jc w:val="center"/>
            </w:pPr>
            <w:r>
              <w:rPr>
                <w:rFonts w:ascii="宋体" w:hAnsi="宋体" w:eastAsia="宋体"/>
                <w:sz w:val="16"/>
              </w:rPr>
              <w:t>得分</w:t>
            </w:r>
          </w:p>
        </w:tc>
      </w:tr>
      <w:tr w14:paraId="0A6341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078F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7F398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AD593">
            <w:pPr>
              <w:jc w:val="center"/>
            </w:pPr>
            <w:r>
              <w:rPr>
                <w:rFonts w:ascii="宋体" w:hAnsi="宋体" w:eastAsia="宋体"/>
                <w:sz w:val="16"/>
              </w:rPr>
              <w:t>321.64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34273">
            <w:pPr>
              <w:jc w:val="center"/>
            </w:pPr>
            <w:r>
              <w:rPr>
                <w:rFonts w:ascii="宋体" w:hAnsi="宋体" w:eastAsia="宋体"/>
                <w:sz w:val="16"/>
              </w:rPr>
              <w:t>513.72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366F2">
            <w:pPr>
              <w:jc w:val="center"/>
            </w:pPr>
            <w:r>
              <w:rPr>
                <w:rFonts w:ascii="宋体" w:hAnsi="宋体" w:eastAsia="宋体"/>
                <w:sz w:val="16"/>
              </w:rPr>
              <w:t>461.68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B78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1810A">
            <w:pPr>
              <w:jc w:val="center"/>
            </w:pPr>
            <w:r>
              <w:rPr>
                <w:rFonts w:ascii="宋体" w:hAnsi="宋体" w:eastAsia="宋体"/>
                <w:sz w:val="16"/>
              </w:rPr>
              <w:t>89.87%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60F66">
            <w:pPr>
              <w:jc w:val="center"/>
              <w:rPr>
                <w:rFonts w:hint="default" w:eastAsia="宋体"/>
                <w:lang w:val="en-US" w:eastAsia="zh-CN"/>
              </w:rPr>
            </w:pPr>
            <w:r>
              <w:rPr>
                <w:rFonts w:hint="eastAsia" w:ascii="宋体" w:hAnsi="宋体"/>
                <w:sz w:val="16"/>
                <w:lang w:val="en-US" w:eastAsia="zh-CN"/>
              </w:rPr>
              <w:t>8.99</w:t>
            </w:r>
          </w:p>
        </w:tc>
      </w:tr>
      <w:tr w14:paraId="0AB2A9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2950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D99A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D088A">
            <w:pPr>
              <w:jc w:val="center"/>
            </w:pPr>
            <w:r>
              <w:rPr>
                <w:rFonts w:ascii="宋体" w:hAnsi="宋体" w:eastAsia="宋体"/>
                <w:sz w:val="16"/>
              </w:rPr>
              <w:t>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9117A">
            <w:pPr>
              <w:jc w:val="center"/>
            </w:pPr>
            <w:r>
              <w:rPr>
                <w:rFonts w:ascii="宋体" w:hAnsi="宋体" w:eastAsia="宋体"/>
                <w:sz w:val="16"/>
              </w:rPr>
              <w:t>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D2AE7">
            <w:pPr>
              <w:jc w:val="center"/>
            </w:pPr>
            <w:r>
              <w:rPr>
                <w:rFonts w:ascii="宋体" w:hAnsi="宋体" w:eastAsia="宋体"/>
                <w:sz w:val="16"/>
              </w:rPr>
              <w:t>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1843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608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9FE3F">
            <w:pPr>
              <w:jc w:val="center"/>
            </w:pPr>
            <w:r>
              <w:rPr>
                <w:rFonts w:ascii="宋体" w:hAnsi="宋体" w:eastAsia="宋体"/>
                <w:sz w:val="16"/>
              </w:rPr>
              <w:t>—</w:t>
            </w:r>
          </w:p>
        </w:tc>
      </w:tr>
      <w:tr w14:paraId="1CC66D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E049F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17E6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40EDF">
            <w:pPr>
              <w:jc w:val="center"/>
            </w:pPr>
            <w:r>
              <w:rPr>
                <w:rFonts w:ascii="宋体" w:hAnsi="宋体" w:eastAsia="宋体"/>
                <w:sz w:val="16"/>
              </w:rPr>
              <w:t>313.64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A7152">
            <w:pPr>
              <w:jc w:val="center"/>
            </w:pPr>
            <w:r>
              <w:rPr>
                <w:rFonts w:ascii="宋体" w:hAnsi="宋体" w:eastAsia="宋体"/>
                <w:sz w:val="16"/>
              </w:rPr>
              <w:t>510.53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921B5">
            <w:pPr>
              <w:jc w:val="center"/>
            </w:pPr>
            <w:r>
              <w:rPr>
                <w:rFonts w:ascii="宋体" w:hAnsi="宋体" w:eastAsia="宋体"/>
                <w:sz w:val="16"/>
              </w:rPr>
              <w:t>458.49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B2D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79A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653DA">
            <w:pPr>
              <w:jc w:val="center"/>
            </w:pPr>
            <w:r>
              <w:rPr>
                <w:rFonts w:ascii="宋体" w:hAnsi="宋体" w:eastAsia="宋体"/>
                <w:sz w:val="16"/>
              </w:rPr>
              <w:t>—</w:t>
            </w:r>
          </w:p>
        </w:tc>
      </w:tr>
      <w:tr w14:paraId="68D310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A677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554C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46A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B708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6135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0C1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B72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AAB3A">
            <w:pPr>
              <w:jc w:val="center"/>
            </w:pPr>
            <w:r>
              <w:rPr>
                <w:rFonts w:ascii="宋体" w:hAnsi="宋体" w:eastAsia="宋体"/>
                <w:sz w:val="16"/>
              </w:rPr>
              <w:t>—</w:t>
            </w:r>
          </w:p>
        </w:tc>
      </w:tr>
      <w:tr w14:paraId="0D7BC62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8DAA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FBC42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C9509C">
            <w:pPr>
              <w:jc w:val="center"/>
            </w:pPr>
            <w:r>
              <w:rPr>
                <w:rFonts w:ascii="宋体" w:hAnsi="宋体" w:eastAsia="宋体"/>
                <w:sz w:val="16"/>
              </w:rPr>
              <w:t>实际完成情况</w:t>
            </w:r>
          </w:p>
        </w:tc>
      </w:tr>
      <w:tr w14:paraId="0134C2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00BBA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026438">
            <w:pPr>
              <w:jc w:val="both"/>
            </w:pPr>
            <w:r>
              <w:rPr>
                <w:rFonts w:ascii="宋体" w:hAnsi="宋体" w:eastAsia="宋体"/>
                <w:sz w:val="16"/>
              </w:rPr>
              <w:t xml:space="preserve">单位基本职能：负责对全市财政收支和法律法规规定属于审计监督范围的财务收支的真实和效益进行审计监督，维护财政经济秩序，提高财政资金使用效益，保障国民经济和社会健康发展。对审计、专项审计调查和核查社会审计机构相关审计报告的结果承担责任，并负有督促被审计单位整改的责任。 </w:t>
            </w:r>
            <w:r>
              <w:rPr>
                <w:rFonts w:ascii="宋体" w:hAnsi="宋体" w:eastAsia="宋体"/>
                <w:sz w:val="16"/>
              </w:rPr>
              <w:br w:type="textWrapping"/>
            </w:r>
            <w:r>
              <w:rPr>
                <w:rFonts w:ascii="宋体" w:hAnsi="宋体" w:eastAsia="宋体"/>
                <w:sz w:val="16"/>
              </w:rPr>
              <w:t xml:space="preserve">单位编制情况：下设6个处室，编制数18，实有人数25人，在职16人，退休9人。 </w:t>
            </w:r>
            <w:r>
              <w:rPr>
                <w:rFonts w:ascii="宋体" w:hAnsi="宋体" w:eastAsia="宋体"/>
                <w:sz w:val="16"/>
              </w:rPr>
              <w:br w:type="textWrapping"/>
            </w:r>
            <w:r>
              <w:rPr>
                <w:rFonts w:ascii="宋体" w:hAnsi="宋体" w:eastAsia="宋体"/>
                <w:sz w:val="16"/>
              </w:rPr>
              <w:t>中长期规划：紧紧围绕市委、市政府工作中心，把握稳中求进的总基调，着力在促进政策执行、提高财政绩效、</w:t>
            </w:r>
            <w:r>
              <w:rPr>
                <w:rFonts w:hint="eastAsia" w:ascii="宋体" w:hAnsi="宋体"/>
                <w:sz w:val="16"/>
                <w:lang w:eastAsia="zh-CN"/>
              </w:rPr>
              <w:t>增进民生福祉</w:t>
            </w:r>
            <w:r>
              <w:rPr>
                <w:rFonts w:ascii="宋体" w:hAnsi="宋体" w:eastAsia="宋体"/>
                <w:sz w:val="16"/>
              </w:rPr>
              <w:t>、推动责任履行等方面下功夫，全面提升审计工作质量和水平，全力推动经济社会发展。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D705CE">
            <w:pPr>
              <w:jc w:val="both"/>
            </w:pPr>
            <w:r>
              <w:rPr>
                <w:rFonts w:ascii="宋体" w:hAnsi="宋体" w:eastAsia="宋体"/>
                <w:sz w:val="16"/>
              </w:rPr>
              <w:t>本单位共计支出461.68万元，用于保障部门在职16人，退休9人的工资福利、各项补助正常发放及部门单位正常运转，单位预算项目根据年初计划均已完成，达到了</w:t>
            </w:r>
            <w:r>
              <w:rPr>
                <w:rFonts w:hint="eastAsia" w:ascii="宋体" w:hAnsi="宋体"/>
                <w:sz w:val="16"/>
                <w:lang w:eastAsia="zh-CN"/>
              </w:rPr>
              <w:t>增进民生福祉</w:t>
            </w:r>
            <w:r>
              <w:rPr>
                <w:rFonts w:ascii="宋体" w:hAnsi="宋体" w:eastAsia="宋体"/>
                <w:sz w:val="16"/>
              </w:rPr>
              <w:t xml:space="preserve">、推动责任履行，全面提升审计工作质量和水平，全力推动经济社会发展的效果，年度任务中完成企业经营管理审计2个，行政事业单位项目审计3个，行政事业单位财政审计5个，经济责任审计2个等目标。 </w:t>
            </w:r>
            <w:r>
              <w:rPr>
                <w:rFonts w:ascii="宋体" w:hAnsi="宋体" w:eastAsia="宋体"/>
                <w:sz w:val="16"/>
              </w:rPr>
              <w:br w:type="textWrapping"/>
            </w:r>
          </w:p>
        </w:tc>
      </w:tr>
      <w:tr w14:paraId="2C60275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8DB3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AFDD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AD3F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EB09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0667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9C77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9FCC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30B1F">
            <w:pPr>
              <w:jc w:val="center"/>
            </w:pPr>
            <w:r>
              <w:rPr>
                <w:rFonts w:ascii="宋体" w:hAnsi="宋体" w:eastAsia="宋体"/>
                <w:sz w:val="16"/>
              </w:rPr>
              <w:t>得分</w:t>
            </w:r>
          </w:p>
        </w:tc>
      </w:tr>
      <w:tr w14:paraId="5557B59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528E0B">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69B10">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786AF">
            <w:pPr>
              <w:jc w:val="center"/>
            </w:pPr>
            <w:r>
              <w:rPr>
                <w:rFonts w:ascii="宋体" w:hAnsi="宋体" w:eastAsia="宋体"/>
                <w:sz w:val="16"/>
              </w:rPr>
              <w:t>发现问题整改落实率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AB5A0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B980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D9EF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6441A">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D3809">
            <w:pPr>
              <w:jc w:val="center"/>
            </w:pPr>
            <w:r>
              <w:rPr>
                <w:rFonts w:ascii="宋体" w:hAnsi="宋体" w:eastAsia="宋体"/>
                <w:sz w:val="16"/>
              </w:rPr>
              <w:t>18</w:t>
            </w:r>
          </w:p>
        </w:tc>
      </w:tr>
      <w:tr w14:paraId="128C9ED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E34D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C2B8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C1F9F">
            <w:pPr>
              <w:jc w:val="center"/>
            </w:pPr>
            <w:r>
              <w:rPr>
                <w:rFonts w:ascii="宋体" w:hAnsi="宋体" w:eastAsia="宋体"/>
                <w:sz w:val="16"/>
              </w:rPr>
              <w:t>企业经营管理审计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AB4A3">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6203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2F01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063B6">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B350D">
            <w:pPr>
              <w:jc w:val="center"/>
            </w:pPr>
            <w:r>
              <w:rPr>
                <w:rFonts w:ascii="宋体" w:hAnsi="宋体" w:eastAsia="宋体"/>
                <w:sz w:val="16"/>
              </w:rPr>
              <w:t>9</w:t>
            </w:r>
          </w:p>
        </w:tc>
      </w:tr>
      <w:tr w14:paraId="25860C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8657D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7279F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0414D">
            <w:pPr>
              <w:jc w:val="center"/>
            </w:pPr>
            <w:r>
              <w:rPr>
                <w:rFonts w:ascii="宋体" w:hAnsi="宋体" w:eastAsia="宋体"/>
                <w:sz w:val="16"/>
              </w:rPr>
              <w:t>行政事业单位项目审计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8A739">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C975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EB5A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C5E01F">
            <w:pPr>
              <w:jc w:val="center"/>
            </w:pPr>
            <w:r>
              <w:rPr>
                <w:rFonts w:ascii="宋体" w:hAnsi="宋体" w:eastAsia="宋体"/>
                <w:sz w:val="16"/>
              </w:rPr>
              <w: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38032">
            <w:pPr>
              <w:jc w:val="center"/>
            </w:pPr>
            <w:r>
              <w:rPr>
                <w:rFonts w:ascii="宋体" w:hAnsi="宋体" w:eastAsia="宋体"/>
                <w:sz w:val="16"/>
              </w:rPr>
              <w:t>18</w:t>
            </w:r>
          </w:p>
        </w:tc>
      </w:tr>
      <w:tr w14:paraId="6A6171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88F3D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1211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2DFB1">
            <w:pPr>
              <w:jc w:val="center"/>
            </w:pPr>
            <w:r>
              <w:rPr>
                <w:rFonts w:ascii="宋体" w:hAnsi="宋体" w:eastAsia="宋体"/>
                <w:sz w:val="16"/>
              </w:rPr>
              <w:t>行政事业单位财政审计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F9F9C">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2F05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BF99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C1288">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7B488">
            <w:pPr>
              <w:jc w:val="center"/>
            </w:pPr>
            <w:r>
              <w:rPr>
                <w:rFonts w:ascii="宋体" w:hAnsi="宋体" w:eastAsia="宋体"/>
                <w:sz w:val="16"/>
              </w:rPr>
              <w:t>18</w:t>
            </w:r>
          </w:p>
        </w:tc>
      </w:tr>
      <w:tr w14:paraId="38FFF2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F906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5ECD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A0715">
            <w:pPr>
              <w:jc w:val="center"/>
            </w:pPr>
            <w:r>
              <w:rPr>
                <w:rFonts w:ascii="宋体" w:hAnsi="宋体" w:eastAsia="宋体"/>
                <w:sz w:val="16"/>
              </w:rPr>
              <w:t>经济责任审计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36A3F">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1F3D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697F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3FB61">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79DA5">
            <w:pPr>
              <w:jc w:val="center"/>
            </w:pPr>
            <w:r>
              <w:rPr>
                <w:rFonts w:ascii="宋体" w:hAnsi="宋体" w:eastAsia="宋体"/>
                <w:sz w:val="16"/>
              </w:rPr>
              <w:t>18</w:t>
            </w:r>
          </w:p>
        </w:tc>
      </w:tr>
    </w:tbl>
    <w:p w14:paraId="7F0B795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D41B274">
        <w:tblPrEx>
          <w:tblCellMar>
            <w:top w:w="0" w:type="dxa"/>
            <w:left w:w="108" w:type="dxa"/>
            <w:bottom w:w="0" w:type="dxa"/>
            <w:right w:w="108" w:type="dxa"/>
          </w:tblCellMar>
        </w:tblPrEx>
        <w:tc>
          <w:tcPr>
            <w:tcW w:w="8848" w:type="dxa"/>
            <w:gridSpan w:val="14"/>
            <w:vAlign w:val="center"/>
          </w:tcPr>
          <w:p w14:paraId="5880E3D0">
            <w:pPr>
              <w:jc w:val="center"/>
            </w:pPr>
            <w:r>
              <w:rPr>
                <w:rFonts w:ascii="宋体" w:hAnsi="宋体" w:eastAsia="宋体"/>
                <w:sz w:val="24"/>
              </w:rPr>
              <w:t>项目支出绩效自评表</w:t>
            </w:r>
          </w:p>
        </w:tc>
      </w:tr>
      <w:tr w14:paraId="5F2DBCED">
        <w:tblPrEx>
          <w:tblCellMar>
            <w:top w:w="0" w:type="dxa"/>
            <w:left w:w="108" w:type="dxa"/>
            <w:bottom w:w="0" w:type="dxa"/>
            <w:right w:w="108" w:type="dxa"/>
          </w:tblCellMar>
        </w:tblPrEx>
        <w:tc>
          <w:tcPr>
            <w:tcW w:w="8848" w:type="dxa"/>
            <w:gridSpan w:val="14"/>
            <w:vAlign w:val="center"/>
          </w:tcPr>
          <w:p w14:paraId="76C8194E">
            <w:pPr>
              <w:jc w:val="center"/>
            </w:pPr>
            <w:r>
              <w:rPr>
                <w:rFonts w:ascii="宋体" w:hAnsi="宋体" w:eastAsia="宋体"/>
                <w:sz w:val="24"/>
              </w:rPr>
              <w:t>(2024年度)</w:t>
            </w:r>
          </w:p>
        </w:tc>
      </w:tr>
      <w:tr w14:paraId="512D91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72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1DA1C8">
            <w:pPr>
              <w:jc w:val="center"/>
            </w:pPr>
            <w:r>
              <w:rPr>
                <w:rFonts w:ascii="宋体" w:hAnsi="宋体" w:eastAsia="宋体"/>
                <w:sz w:val="16"/>
              </w:rPr>
              <w:t>2016年—2022年度造价咨询服务费</w:t>
            </w:r>
          </w:p>
        </w:tc>
      </w:tr>
      <w:tr w14:paraId="79977F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CB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AD7AA">
            <w:pPr>
              <w:jc w:val="center"/>
            </w:pPr>
            <w:r>
              <w:rPr>
                <w:rFonts w:ascii="宋体" w:hAnsi="宋体" w:eastAsia="宋体"/>
                <w:sz w:val="16"/>
              </w:rPr>
              <w:t>阿图什市审计局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FE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66107B">
            <w:pPr>
              <w:jc w:val="center"/>
            </w:pPr>
            <w:r>
              <w:rPr>
                <w:rFonts w:ascii="宋体" w:hAnsi="宋体" w:eastAsia="宋体"/>
                <w:sz w:val="16"/>
              </w:rPr>
              <w:t>阿图什市审计局</w:t>
            </w:r>
          </w:p>
        </w:tc>
      </w:tr>
      <w:tr w14:paraId="185CA1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73FA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34E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431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08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CED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8C3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C5D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5E78">
            <w:pPr>
              <w:jc w:val="center"/>
            </w:pPr>
            <w:r>
              <w:rPr>
                <w:rFonts w:ascii="宋体" w:hAnsi="宋体" w:eastAsia="宋体"/>
                <w:sz w:val="16"/>
              </w:rPr>
              <w:t>得分</w:t>
            </w:r>
          </w:p>
        </w:tc>
      </w:tr>
      <w:tr w14:paraId="3415E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3D5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B38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DA5C4">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B5C0F">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7E25">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323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2832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1A4F">
            <w:pPr>
              <w:jc w:val="center"/>
            </w:pPr>
            <w:r>
              <w:rPr>
                <w:rFonts w:ascii="宋体" w:hAnsi="宋体" w:eastAsia="宋体"/>
                <w:sz w:val="16"/>
              </w:rPr>
              <w:t>10.00分</w:t>
            </w:r>
          </w:p>
        </w:tc>
      </w:tr>
      <w:tr w14:paraId="39016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073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983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CDA78">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AE366">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20566">
            <w:pPr>
              <w:jc w:val="center"/>
            </w:pPr>
            <w:r>
              <w:rPr>
                <w:rFonts w:ascii="宋体" w:hAnsi="宋体" w:eastAsia="宋体"/>
                <w:sz w:val="16"/>
              </w:rPr>
              <w:t>77.72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E0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B5E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6499">
            <w:pPr>
              <w:jc w:val="center"/>
            </w:pPr>
            <w:r>
              <w:rPr>
                <w:rFonts w:ascii="宋体" w:hAnsi="宋体" w:eastAsia="宋体"/>
                <w:sz w:val="16"/>
              </w:rPr>
              <w:t>—</w:t>
            </w:r>
          </w:p>
        </w:tc>
      </w:tr>
      <w:tr w14:paraId="6505C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3DB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475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74F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3BE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E6B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17E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61A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2277">
            <w:pPr>
              <w:jc w:val="center"/>
            </w:pPr>
            <w:r>
              <w:rPr>
                <w:rFonts w:ascii="宋体" w:hAnsi="宋体" w:eastAsia="宋体"/>
                <w:sz w:val="16"/>
              </w:rPr>
              <w:t>—</w:t>
            </w:r>
          </w:p>
        </w:tc>
      </w:tr>
      <w:tr w14:paraId="3DB7A7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876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00E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A43E1B">
            <w:pPr>
              <w:jc w:val="center"/>
            </w:pPr>
            <w:r>
              <w:rPr>
                <w:rFonts w:ascii="宋体" w:hAnsi="宋体" w:eastAsia="宋体"/>
                <w:sz w:val="16"/>
              </w:rPr>
              <w:t>实际完成情况</w:t>
            </w:r>
          </w:p>
        </w:tc>
      </w:tr>
      <w:tr w14:paraId="26C8F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4A9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FBBC15">
            <w:pPr>
              <w:jc w:val="both"/>
            </w:pPr>
            <w:r>
              <w:rPr>
                <w:rFonts w:ascii="宋体" w:hAnsi="宋体" w:eastAsia="宋体"/>
                <w:sz w:val="16"/>
              </w:rPr>
              <w:t xml:space="preserve">根据《阿图什市审计局会议纪要》，本项目计划安排资金77.72万元，用于支付2家公司审计项目造价咨询服务费；通过项目的实施，解决服务方经济诉求，做好单位相关业务工作。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4A3582">
            <w:pPr>
              <w:jc w:val="both"/>
            </w:pPr>
            <w:r>
              <w:rPr>
                <w:rFonts w:ascii="宋体" w:hAnsi="宋体" w:eastAsia="宋体"/>
                <w:sz w:val="16"/>
              </w:rPr>
              <w:t xml:space="preserve">本项目共计支出77.724万元，用于支付2家公司审计项目造价咨询服务费；通过实施本项目解决服务方经济诉求，做好单位相关业务工作。 </w:t>
            </w:r>
          </w:p>
        </w:tc>
      </w:tr>
      <w:tr w14:paraId="70DC06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46F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1E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23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77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EDF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F8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26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E1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FDE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01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ECF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CC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CF312">
            <w:pPr>
              <w:jc w:val="center"/>
            </w:pPr>
            <w:r>
              <w:rPr>
                <w:rFonts w:ascii="宋体" w:hAnsi="宋体" w:eastAsia="宋体"/>
                <w:sz w:val="16"/>
              </w:rPr>
              <w:t>偏差原因分析及改进措施</w:t>
            </w:r>
          </w:p>
        </w:tc>
      </w:tr>
      <w:tr w14:paraId="5F003D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397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D1B5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373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19D3">
            <w:pPr>
              <w:jc w:val="center"/>
            </w:pPr>
            <w:r>
              <w:rPr>
                <w:rFonts w:ascii="宋体" w:hAnsi="宋体" w:eastAsia="宋体"/>
                <w:sz w:val="16"/>
              </w:rPr>
              <w:t>第三方服务公司数量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297B">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9D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2C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E0C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1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3FF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4340">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B7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163B7">
            <w:pPr>
              <w:jc w:val="center"/>
            </w:pPr>
          </w:p>
        </w:tc>
      </w:tr>
      <w:tr w14:paraId="2501A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07D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BC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82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39AE">
            <w:pPr>
              <w:jc w:val="center"/>
            </w:pPr>
            <w:r>
              <w:rPr>
                <w:rFonts w:ascii="宋体" w:hAnsi="宋体" w:eastAsia="宋体"/>
                <w:sz w:val="16"/>
              </w:rPr>
              <w:t>解决遗留项目数量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52FD">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9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B9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3F5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C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4E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9A37E">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D30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A08F2">
            <w:pPr>
              <w:jc w:val="center"/>
            </w:pPr>
          </w:p>
        </w:tc>
      </w:tr>
      <w:tr w14:paraId="2CCA79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99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155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356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44D4">
            <w:pPr>
              <w:jc w:val="center"/>
            </w:pPr>
            <w:r>
              <w:rPr>
                <w:rFonts w:ascii="宋体" w:hAnsi="宋体" w:eastAsia="宋体"/>
                <w:sz w:val="16"/>
              </w:rPr>
              <w:t>第三方服务公司资质合格率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A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7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17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68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76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6A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6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6A8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9CC65">
            <w:pPr>
              <w:jc w:val="center"/>
            </w:pPr>
          </w:p>
        </w:tc>
      </w:tr>
      <w:tr w14:paraId="563EE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32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8E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E6F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36F9">
            <w:pPr>
              <w:jc w:val="center"/>
            </w:pPr>
            <w:r>
              <w:rPr>
                <w:rFonts w:ascii="宋体" w:hAnsi="宋体" w:eastAsia="宋体"/>
                <w:sz w:val="16"/>
              </w:rPr>
              <w:t>出具审计报告质量合格率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58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3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9A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FB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36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B7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E2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1BD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BBC6C">
            <w:pPr>
              <w:jc w:val="center"/>
            </w:pPr>
          </w:p>
        </w:tc>
      </w:tr>
      <w:tr w14:paraId="0B5CC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77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3C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6C2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CC0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4BA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5B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61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74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D9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96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807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82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CCF0D">
            <w:pPr>
              <w:jc w:val="center"/>
            </w:pPr>
          </w:p>
        </w:tc>
      </w:tr>
      <w:tr w14:paraId="14989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8B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CB1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43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2022">
            <w:pPr>
              <w:jc w:val="center"/>
            </w:pPr>
            <w:r>
              <w:rPr>
                <w:rFonts w:ascii="宋体" w:hAnsi="宋体" w:eastAsia="宋体"/>
                <w:sz w:val="16"/>
              </w:rPr>
              <w:t>项目投资控制率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AA0E">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04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0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22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0C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0B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CA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672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B5521">
            <w:pPr>
              <w:jc w:val="center"/>
            </w:pPr>
          </w:p>
        </w:tc>
      </w:tr>
      <w:tr w14:paraId="2A1DE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5F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59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3A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98DB">
            <w:pPr>
              <w:jc w:val="center"/>
            </w:pPr>
            <w:r>
              <w:rPr>
                <w:rFonts w:ascii="宋体" w:hAnsi="宋体" w:eastAsia="宋体"/>
                <w:sz w:val="16"/>
              </w:rPr>
              <w:t>保障业务工作顺利开展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CF3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B7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7ED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21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DA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41D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9D5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5D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CB175">
            <w:pPr>
              <w:jc w:val="center"/>
            </w:pPr>
          </w:p>
        </w:tc>
      </w:tr>
      <w:tr w14:paraId="08CF5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98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912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826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F572">
            <w:pPr>
              <w:jc w:val="center"/>
            </w:pPr>
            <w:r>
              <w:rPr>
                <w:rFonts w:ascii="宋体" w:hAnsi="宋体" w:eastAsia="宋体"/>
                <w:sz w:val="16"/>
              </w:rPr>
              <w:t>项目单位满意度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7B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9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2C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BF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9B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72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52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0B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6008F">
            <w:pPr>
              <w:jc w:val="center"/>
            </w:pPr>
          </w:p>
        </w:tc>
      </w:tr>
      <w:tr w14:paraId="7AAC4FD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1B99C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ABCA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CD3B91">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681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7AE823C"/>
        </w:tc>
      </w:tr>
    </w:tbl>
    <w:p w14:paraId="6E31D7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18579886">
        <w:tblPrEx>
          <w:tblCellMar>
            <w:top w:w="0" w:type="dxa"/>
            <w:left w:w="108" w:type="dxa"/>
            <w:bottom w:w="0" w:type="dxa"/>
            <w:right w:w="108" w:type="dxa"/>
          </w:tblCellMar>
        </w:tblPrEx>
        <w:tc>
          <w:tcPr>
            <w:tcW w:w="8848" w:type="dxa"/>
            <w:gridSpan w:val="14"/>
            <w:vAlign w:val="center"/>
          </w:tcPr>
          <w:p w14:paraId="5FC6842E">
            <w:pPr>
              <w:jc w:val="center"/>
            </w:pPr>
            <w:r>
              <w:rPr>
                <w:rFonts w:ascii="宋体" w:hAnsi="宋体" w:eastAsia="宋体"/>
                <w:sz w:val="24"/>
              </w:rPr>
              <w:t>项目支出绩效自评表</w:t>
            </w:r>
          </w:p>
        </w:tc>
      </w:tr>
      <w:tr w14:paraId="08558AB3">
        <w:tblPrEx>
          <w:tblCellMar>
            <w:top w:w="0" w:type="dxa"/>
            <w:left w:w="108" w:type="dxa"/>
            <w:bottom w:w="0" w:type="dxa"/>
            <w:right w:w="108" w:type="dxa"/>
          </w:tblCellMar>
        </w:tblPrEx>
        <w:tc>
          <w:tcPr>
            <w:tcW w:w="8848" w:type="dxa"/>
            <w:gridSpan w:val="14"/>
            <w:vAlign w:val="center"/>
          </w:tcPr>
          <w:p w14:paraId="603CF143">
            <w:pPr>
              <w:jc w:val="center"/>
            </w:pPr>
            <w:r>
              <w:rPr>
                <w:rFonts w:ascii="宋体" w:hAnsi="宋体" w:eastAsia="宋体"/>
                <w:sz w:val="24"/>
              </w:rPr>
              <w:t>(2024年度)</w:t>
            </w:r>
          </w:p>
        </w:tc>
      </w:tr>
      <w:tr w14:paraId="4C16A1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AB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CEC2FF">
            <w:pPr>
              <w:jc w:val="center"/>
            </w:pPr>
            <w:r>
              <w:rPr>
                <w:rFonts w:ascii="宋体" w:hAnsi="宋体" w:eastAsia="宋体"/>
                <w:sz w:val="16"/>
              </w:rPr>
              <w:t>2024年度自治区乡村振兴专项审计经费项目</w:t>
            </w:r>
          </w:p>
        </w:tc>
      </w:tr>
      <w:tr w14:paraId="0B84A8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FDE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7B449">
            <w:pPr>
              <w:jc w:val="center"/>
            </w:pPr>
            <w:r>
              <w:rPr>
                <w:rFonts w:ascii="宋体" w:hAnsi="宋体" w:eastAsia="宋体"/>
                <w:sz w:val="16"/>
              </w:rPr>
              <w:t>阿图什市审计局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F2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132A23">
            <w:pPr>
              <w:jc w:val="center"/>
            </w:pPr>
            <w:r>
              <w:rPr>
                <w:rFonts w:ascii="宋体" w:hAnsi="宋体" w:eastAsia="宋体"/>
                <w:sz w:val="16"/>
              </w:rPr>
              <w:t>阿图什市审计局</w:t>
            </w:r>
          </w:p>
        </w:tc>
      </w:tr>
      <w:tr w14:paraId="767D32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F00C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314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F4D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B80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1B5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8CA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D3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F6CB">
            <w:pPr>
              <w:jc w:val="center"/>
            </w:pPr>
            <w:r>
              <w:rPr>
                <w:rFonts w:ascii="宋体" w:hAnsi="宋体" w:eastAsia="宋体"/>
                <w:sz w:val="16"/>
              </w:rPr>
              <w:t>得分</w:t>
            </w:r>
          </w:p>
        </w:tc>
      </w:tr>
      <w:tr w14:paraId="0E1D6D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63F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236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AEA2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265F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16FD3">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9A5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A0341">
            <w:pPr>
              <w:jc w:val="center"/>
            </w:pPr>
            <w:r>
              <w:rPr>
                <w:rFonts w:ascii="宋体" w:hAnsi="宋体" w:eastAsia="宋体"/>
                <w:sz w:val="16"/>
              </w:rPr>
              <w:t>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CB1B">
            <w:pPr>
              <w:jc w:val="center"/>
            </w:pPr>
            <w:r>
              <w:rPr>
                <w:rFonts w:ascii="宋体" w:hAnsi="宋体" w:eastAsia="宋体"/>
                <w:sz w:val="16"/>
              </w:rPr>
              <w:t>0.00分</w:t>
            </w:r>
          </w:p>
        </w:tc>
      </w:tr>
      <w:tr w14:paraId="5C033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1AD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7D5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0666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5DFAB">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C0D35">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74C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8EE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0562">
            <w:pPr>
              <w:jc w:val="center"/>
            </w:pPr>
            <w:r>
              <w:rPr>
                <w:rFonts w:ascii="宋体" w:hAnsi="宋体" w:eastAsia="宋体"/>
                <w:sz w:val="16"/>
              </w:rPr>
              <w:t>—</w:t>
            </w:r>
          </w:p>
        </w:tc>
      </w:tr>
      <w:tr w14:paraId="4DD9B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0A1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B7B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C7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897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DF7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B5C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76B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C41B">
            <w:pPr>
              <w:jc w:val="center"/>
            </w:pPr>
            <w:r>
              <w:rPr>
                <w:rFonts w:ascii="宋体" w:hAnsi="宋体" w:eastAsia="宋体"/>
                <w:sz w:val="16"/>
              </w:rPr>
              <w:t>—</w:t>
            </w:r>
          </w:p>
        </w:tc>
      </w:tr>
      <w:tr w14:paraId="4AD453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238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2FA6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D4CF35">
            <w:pPr>
              <w:jc w:val="center"/>
            </w:pPr>
            <w:r>
              <w:rPr>
                <w:rFonts w:ascii="宋体" w:hAnsi="宋体" w:eastAsia="宋体"/>
                <w:sz w:val="16"/>
              </w:rPr>
              <w:t>实际完成情况</w:t>
            </w:r>
          </w:p>
        </w:tc>
      </w:tr>
      <w:tr w14:paraId="30A8B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883F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A0D7CE">
            <w:pPr>
              <w:jc w:val="both"/>
            </w:pPr>
            <w:r>
              <w:rPr>
                <w:rFonts w:ascii="宋体" w:hAnsi="宋体" w:eastAsia="宋体"/>
                <w:sz w:val="16"/>
              </w:rPr>
              <w:t>根据《关于提前下达自治区2024年度乡村振兴专项审计经费的通知》克财行</w:t>
            </w:r>
            <w:r>
              <w:rPr>
                <w:rFonts w:hint="eastAsia" w:ascii="宋体" w:hAnsi="宋体"/>
                <w:sz w:val="16"/>
                <w:lang w:eastAsia="zh-CN"/>
              </w:rPr>
              <w:t>〔2023〕45号</w:t>
            </w:r>
            <w:r>
              <w:rPr>
                <w:rFonts w:ascii="宋体" w:hAnsi="宋体" w:eastAsia="宋体"/>
                <w:sz w:val="16"/>
              </w:rPr>
              <w:t>文件，下达资金8万元，主要用于审计项目数1个，交叉审计出差人数1人；通过项目的实施，促进脱贫群众稳定增收，夯实脱贫基础，坚决防止出现整村整乡返贫现象。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6E0824">
            <w:pPr>
              <w:jc w:val="both"/>
            </w:pPr>
            <w:r>
              <w:rPr>
                <w:rFonts w:ascii="宋体" w:hAnsi="宋体" w:eastAsia="宋体"/>
                <w:sz w:val="16"/>
              </w:rPr>
              <w:t>根据《关于提前下达自治区2024年度乡村振兴专项审计经费的通知》克财行〔2023〕45号文件，下达资金8万元，本项目共计支出1.7384万元，用于审计项目数1个，交叉审计出差人数1人；通过实施本项目促进脱贫群众稳定增收，夯实脱贫基础，坚决防止出现整村整乡返贫现象。</w:t>
            </w:r>
          </w:p>
        </w:tc>
      </w:tr>
      <w:tr w14:paraId="405AC9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09B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065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7F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C7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B12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EB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88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7E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C8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09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3B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36D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BB669">
            <w:pPr>
              <w:jc w:val="center"/>
            </w:pPr>
            <w:r>
              <w:rPr>
                <w:rFonts w:ascii="宋体" w:hAnsi="宋体" w:eastAsia="宋体"/>
                <w:sz w:val="16"/>
              </w:rPr>
              <w:t>偏差原因分析及改进措施</w:t>
            </w:r>
          </w:p>
        </w:tc>
      </w:tr>
      <w:tr w14:paraId="58680D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297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162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08A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A9CA">
            <w:pPr>
              <w:jc w:val="center"/>
            </w:pPr>
            <w:r>
              <w:rPr>
                <w:rFonts w:ascii="宋体" w:hAnsi="宋体" w:eastAsia="宋体"/>
                <w:sz w:val="16"/>
              </w:rPr>
              <w:t>审计项目数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117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93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30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DD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CB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DE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1D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F2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CBE9D">
            <w:pPr>
              <w:jc w:val="center"/>
            </w:pPr>
          </w:p>
        </w:tc>
      </w:tr>
      <w:tr w14:paraId="1E63D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FF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53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7F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5F39">
            <w:pPr>
              <w:jc w:val="center"/>
            </w:pPr>
            <w:r>
              <w:rPr>
                <w:rFonts w:ascii="宋体" w:hAnsi="宋体" w:eastAsia="宋体"/>
                <w:sz w:val="16"/>
              </w:rPr>
              <w:t>交叉审计出差人数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7B0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9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DF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DA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65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BA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83D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9A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1BDE1">
            <w:pPr>
              <w:jc w:val="center"/>
            </w:pPr>
          </w:p>
        </w:tc>
      </w:tr>
      <w:tr w14:paraId="279E2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74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806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32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9CB4">
            <w:pPr>
              <w:jc w:val="center"/>
            </w:pPr>
            <w:r>
              <w:rPr>
                <w:rFonts w:ascii="宋体" w:hAnsi="宋体" w:eastAsia="宋体"/>
                <w:sz w:val="16"/>
              </w:rPr>
              <w:t>审计查处问题整改率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FE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7C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BD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5E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23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24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A40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D3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CA4C8">
            <w:pPr>
              <w:jc w:val="center"/>
            </w:pPr>
          </w:p>
        </w:tc>
      </w:tr>
      <w:tr w14:paraId="3153A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59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D4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3D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8B50">
            <w:pPr>
              <w:jc w:val="center"/>
            </w:pPr>
            <w:r>
              <w:rPr>
                <w:rFonts w:ascii="宋体" w:hAnsi="宋体" w:eastAsia="宋体"/>
                <w:sz w:val="16"/>
              </w:rPr>
              <w:t>审计项目按时完成率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E46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E1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2D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9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3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4A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8F9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F3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D5F6F">
            <w:pPr>
              <w:jc w:val="center"/>
            </w:pPr>
          </w:p>
        </w:tc>
      </w:tr>
      <w:tr w14:paraId="03C8C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9D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46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A0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EED3">
            <w:pPr>
              <w:jc w:val="center"/>
            </w:pPr>
            <w:r>
              <w:rPr>
                <w:rFonts w:ascii="宋体" w:hAnsi="宋体" w:eastAsia="宋体"/>
                <w:sz w:val="16"/>
              </w:rPr>
              <w:t>审计专项审计经费控制率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6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9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DD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CE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25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496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02A3">
            <w:pPr>
              <w:jc w:val="center"/>
            </w:pPr>
            <w:r>
              <w:rPr>
                <w:rFonts w:ascii="宋体" w:hAnsi="宋体" w:eastAsia="宋体"/>
                <w:sz w:val="16"/>
              </w:rPr>
              <w:t>=21.8%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40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FD6AF">
            <w:pPr>
              <w:jc w:val="center"/>
            </w:pPr>
            <w:r>
              <w:rPr>
                <w:rFonts w:ascii="宋体" w:hAnsi="宋体" w:eastAsia="宋体"/>
                <w:sz w:val="16"/>
              </w:rPr>
              <w:t>原因：根据实际情况支出，剩余资金已结转。措施：及时申请并支付项目资金，基本达到预期效果。</w:t>
            </w:r>
          </w:p>
        </w:tc>
      </w:tr>
      <w:tr w14:paraId="32A58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A1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D2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3F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B363">
            <w:pPr>
              <w:jc w:val="center"/>
            </w:pPr>
            <w:r>
              <w:rPr>
                <w:rFonts w:ascii="宋体" w:hAnsi="宋体" w:eastAsia="宋体"/>
                <w:sz w:val="16"/>
              </w:rPr>
              <w:t>保障乡村振兴工作有序开展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20F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8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D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BEB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8F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AE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A94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77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73586">
            <w:pPr>
              <w:jc w:val="center"/>
            </w:pPr>
          </w:p>
        </w:tc>
      </w:tr>
      <w:tr w14:paraId="38294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86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AD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84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080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A83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B2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DC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F6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D2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F9A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63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ED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183E">
            <w:pPr>
              <w:jc w:val="center"/>
            </w:pPr>
          </w:p>
        </w:tc>
      </w:tr>
      <w:tr w14:paraId="0ACA08F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74D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0C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F24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1130">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04580A"/>
        </w:tc>
      </w:tr>
    </w:tbl>
    <w:p w14:paraId="4FCF5A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7B05780">
        <w:tblPrEx>
          <w:tblCellMar>
            <w:top w:w="0" w:type="dxa"/>
            <w:left w:w="108" w:type="dxa"/>
            <w:bottom w:w="0" w:type="dxa"/>
            <w:right w:w="108" w:type="dxa"/>
          </w:tblCellMar>
        </w:tblPrEx>
        <w:tc>
          <w:tcPr>
            <w:tcW w:w="8848" w:type="dxa"/>
            <w:gridSpan w:val="14"/>
            <w:vAlign w:val="center"/>
          </w:tcPr>
          <w:p w14:paraId="6CE79DD7">
            <w:pPr>
              <w:jc w:val="center"/>
            </w:pPr>
            <w:r>
              <w:rPr>
                <w:rFonts w:ascii="宋体" w:hAnsi="宋体" w:eastAsia="宋体"/>
                <w:sz w:val="24"/>
              </w:rPr>
              <w:t>项目支出绩效自评表</w:t>
            </w:r>
          </w:p>
        </w:tc>
      </w:tr>
      <w:tr w14:paraId="6AD56CC1">
        <w:tblPrEx>
          <w:tblCellMar>
            <w:top w:w="0" w:type="dxa"/>
            <w:left w:w="108" w:type="dxa"/>
            <w:bottom w:w="0" w:type="dxa"/>
            <w:right w:w="108" w:type="dxa"/>
          </w:tblCellMar>
        </w:tblPrEx>
        <w:tc>
          <w:tcPr>
            <w:tcW w:w="8848" w:type="dxa"/>
            <w:gridSpan w:val="14"/>
            <w:vAlign w:val="center"/>
          </w:tcPr>
          <w:p w14:paraId="5421A10D">
            <w:pPr>
              <w:jc w:val="center"/>
            </w:pPr>
            <w:r>
              <w:rPr>
                <w:rFonts w:ascii="宋体" w:hAnsi="宋体" w:eastAsia="宋体"/>
                <w:sz w:val="24"/>
              </w:rPr>
              <w:t>(2024年度)</w:t>
            </w:r>
          </w:p>
        </w:tc>
      </w:tr>
      <w:tr w14:paraId="23000B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EE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8E7D22">
            <w:pPr>
              <w:jc w:val="center"/>
            </w:pPr>
            <w:r>
              <w:rPr>
                <w:rFonts w:ascii="宋体" w:hAnsi="宋体" w:eastAsia="宋体"/>
                <w:sz w:val="16"/>
              </w:rPr>
              <w:t>审计业务经费项目</w:t>
            </w:r>
          </w:p>
        </w:tc>
      </w:tr>
      <w:tr w14:paraId="0AF1FD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17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68794A">
            <w:pPr>
              <w:jc w:val="center"/>
            </w:pPr>
            <w:r>
              <w:rPr>
                <w:rFonts w:ascii="宋体" w:hAnsi="宋体" w:eastAsia="宋体"/>
                <w:sz w:val="16"/>
              </w:rPr>
              <w:t>阿图什市审计局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BC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0045DD">
            <w:pPr>
              <w:jc w:val="center"/>
            </w:pPr>
            <w:r>
              <w:rPr>
                <w:rFonts w:ascii="宋体" w:hAnsi="宋体" w:eastAsia="宋体"/>
                <w:sz w:val="16"/>
              </w:rPr>
              <w:t>阿图什市审计局</w:t>
            </w:r>
          </w:p>
        </w:tc>
      </w:tr>
      <w:tr w14:paraId="5B2846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721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936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467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0A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66F8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02F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EB9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3891">
            <w:pPr>
              <w:jc w:val="center"/>
            </w:pPr>
            <w:r>
              <w:rPr>
                <w:rFonts w:ascii="宋体" w:hAnsi="宋体" w:eastAsia="宋体"/>
                <w:sz w:val="16"/>
              </w:rPr>
              <w:t>得分</w:t>
            </w:r>
          </w:p>
        </w:tc>
      </w:tr>
      <w:tr w14:paraId="041B2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EA1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7B5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DB37F">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ABAF9">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684FC">
            <w:pPr>
              <w:jc w:val="center"/>
            </w:pPr>
            <w:r>
              <w:rPr>
                <w:rFonts w:ascii="宋体" w:hAnsi="宋体" w:eastAsia="宋体"/>
                <w:sz w:val="16"/>
              </w:rPr>
              <w:t>10.63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31F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B6AC0">
            <w:pPr>
              <w:jc w:val="center"/>
            </w:pPr>
            <w:r>
              <w:rPr>
                <w:rFonts w:ascii="宋体" w:hAnsi="宋体" w:eastAsia="宋体"/>
                <w:sz w:val="16"/>
              </w:rPr>
              <w:t>59.1%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173A3">
            <w:pPr>
              <w:jc w:val="center"/>
            </w:pPr>
            <w:r>
              <w:rPr>
                <w:rFonts w:ascii="宋体" w:hAnsi="宋体" w:eastAsia="宋体"/>
                <w:sz w:val="16"/>
              </w:rPr>
              <w:t>0.00分</w:t>
            </w:r>
          </w:p>
        </w:tc>
      </w:tr>
      <w:tr w14:paraId="77342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B18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722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1701">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386C">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D05D9">
            <w:pPr>
              <w:jc w:val="center"/>
            </w:pPr>
            <w:r>
              <w:rPr>
                <w:rFonts w:ascii="宋体" w:hAnsi="宋体" w:eastAsia="宋体"/>
                <w:sz w:val="16"/>
              </w:rPr>
              <w:t>10.63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C7C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17D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4ED3">
            <w:pPr>
              <w:jc w:val="center"/>
            </w:pPr>
            <w:r>
              <w:rPr>
                <w:rFonts w:ascii="宋体" w:hAnsi="宋体" w:eastAsia="宋体"/>
                <w:sz w:val="16"/>
              </w:rPr>
              <w:t>—</w:t>
            </w:r>
          </w:p>
        </w:tc>
      </w:tr>
      <w:tr w14:paraId="068BF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A49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FDD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72D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456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BE8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8EE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BAC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766F">
            <w:pPr>
              <w:jc w:val="center"/>
            </w:pPr>
            <w:r>
              <w:rPr>
                <w:rFonts w:ascii="宋体" w:hAnsi="宋体" w:eastAsia="宋体"/>
                <w:sz w:val="16"/>
              </w:rPr>
              <w:t>—</w:t>
            </w:r>
          </w:p>
        </w:tc>
      </w:tr>
      <w:tr w14:paraId="3B40FE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03CA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2B4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58E03C">
            <w:pPr>
              <w:jc w:val="center"/>
            </w:pPr>
            <w:r>
              <w:rPr>
                <w:rFonts w:ascii="宋体" w:hAnsi="宋体" w:eastAsia="宋体"/>
                <w:sz w:val="16"/>
              </w:rPr>
              <w:t>实际完成情况</w:t>
            </w:r>
          </w:p>
        </w:tc>
      </w:tr>
      <w:tr w14:paraId="1166E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855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44504">
            <w:pPr>
              <w:jc w:val="both"/>
            </w:pPr>
            <w:r>
              <w:rPr>
                <w:rFonts w:ascii="宋体" w:hAnsi="宋体" w:eastAsia="宋体"/>
                <w:sz w:val="16"/>
              </w:rPr>
              <w:t>根据《阿图什市审计局单位预算项目会议纪要》，安排本项目资金18万元；主要用于组织开展审计项目12个，外出参与审计出差人员12人，购买办公用品3批次，保障公务用车数量1辆，印刷及购买报刊书1批，通过项目的实施，保障审计业务工作顺利进行，维护国家财政经济秩序，促进廉政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FDAF8">
            <w:pPr>
              <w:jc w:val="both"/>
            </w:pPr>
            <w:r>
              <w:rPr>
                <w:rFonts w:ascii="宋体" w:hAnsi="宋体" w:eastAsia="宋体"/>
                <w:sz w:val="16"/>
              </w:rPr>
              <w:t>本项目共计支出10.6319万元，用于组织开展审计项目12个，外出参与审计出差人员12人，购买办公用品3批次，保障公务用车数量1辆；通过实施本项目保障审计业务工作顺利进行，维护国家财政经济秩序，促进廉政建设。</w:t>
            </w:r>
          </w:p>
        </w:tc>
      </w:tr>
      <w:tr w14:paraId="59A89C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E97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C7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07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2A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777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A6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81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71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89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04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642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08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59B86">
            <w:pPr>
              <w:jc w:val="center"/>
            </w:pPr>
            <w:r>
              <w:rPr>
                <w:rFonts w:ascii="宋体" w:hAnsi="宋体" w:eastAsia="宋体"/>
                <w:sz w:val="16"/>
              </w:rPr>
              <w:t>偏差原因分析及改进措施</w:t>
            </w:r>
          </w:p>
        </w:tc>
      </w:tr>
      <w:tr w14:paraId="22FD4B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E82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F3A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5F8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F645">
            <w:pPr>
              <w:jc w:val="center"/>
            </w:pPr>
            <w:r>
              <w:rPr>
                <w:rFonts w:ascii="宋体" w:hAnsi="宋体" w:eastAsia="宋体"/>
                <w:sz w:val="16"/>
              </w:rPr>
              <w:t>审计项目数量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EAA8">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C9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10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19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D47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C2D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D855">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5F5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E14FB">
            <w:pPr>
              <w:jc w:val="center"/>
            </w:pPr>
          </w:p>
        </w:tc>
      </w:tr>
      <w:tr w14:paraId="0DAC0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B9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5C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D5F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4E5C">
            <w:pPr>
              <w:jc w:val="center"/>
            </w:pPr>
            <w:r>
              <w:rPr>
                <w:rFonts w:ascii="宋体" w:hAnsi="宋体" w:eastAsia="宋体"/>
                <w:sz w:val="16"/>
              </w:rPr>
              <w:t>差旅费补助人数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A7DC">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69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45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BE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1D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9EF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1793">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27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4DAE5">
            <w:pPr>
              <w:jc w:val="center"/>
            </w:pPr>
          </w:p>
        </w:tc>
      </w:tr>
      <w:tr w14:paraId="6DE55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EE5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FEE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40B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DD7D">
            <w:pPr>
              <w:jc w:val="center"/>
            </w:pPr>
            <w:r>
              <w:rPr>
                <w:rFonts w:ascii="宋体" w:hAnsi="宋体" w:eastAsia="宋体"/>
                <w:sz w:val="16"/>
              </w:rPr>
              <w:t>购买办公用品次数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3C2C5">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C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40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B9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DB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D41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B7AB">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9C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E741D">
            <w:pPr>
              <w:jc w:val="center"/>
            </w:pPr>
          </w:p>
        </w:tc>
      </w:tr>
      <w:tr w14:paraId="729A87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E8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A93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7AA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16D1">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45C7">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CB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87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AD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21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525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A793">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8F2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BB670">
            <w:pPr>
              <w:jc w:val="center"/>
            </w:pPr>
          </w:p>
        </w:tc>
      </w:tr>
      <w:tr w14:paraId="37B37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AE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03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51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41F6">
            <w:pPr>
              <w:jc w:val="center"/>
            </w:pPr>
            <w:r>
              <w:rPr>
                <w:rFonts w:ascii="宋体" w:hAnsi="宋体" w:eastAsia="宋体"/>
                <w:sz w:val="16"/>
              </w:rPr>
              <w:t>购买办公设备数量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C556">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91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92B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D3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EF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A46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D3A4">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3A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8F55F">
            <w:pPr>
              <w:jc w:val="center"/>
            </w:pPr>
            <w:r>
              <w:rPr>
                <w:rFonts w:ascii="宋体" w:hAnsi="宋体" w:eastAsia="宋体"/>
                <w:sz w:val="16"/>
              </w:rPr>
              <w:t>原因：单位现有办公设备已满足工作需求，因此未购买；措施：下一年度做好工作计划，减少偏差。</w:t>
            </w:r>
          </w:p>
        </w:tc>
      </w:tr>
      <w:tr w14:paraId="6EF8A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DB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AF5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C59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4F79">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E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79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96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0A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804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D13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6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70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5AE2B">
            <w:pPr>
              <w:jc w:val="center"/>
            </w:pPr>
          </w:p>
        </w:tc>
      </w:tr>
      <w:tr w14:paraId="0D542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3C5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9E3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03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A0AB">
            <w:pPr>
              <w:jc w:val="center"/>
            </w:pPr>
            <w:r>
              <w:rPr>
                <w:rFonts w:ascii="宋体" w:hAnsi="宋体" w:eastAsia="宋体"/>
                <w:sz w:val="16"/>
              </w:rPr>
              <w:t>审计工作质量达标率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8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A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FE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36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FA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E3B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B3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AD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A74CC">
            <w:pPr>
              <w:jc w:val="center"/>
            </w:pPr>
          </w:p>
        </w:tc>
      </w:tr>
      <w:tr w14:paraId="6695C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A5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082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2F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4252">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A2F6">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7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C5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33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90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E6D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456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EED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B58F1">
            <w:pPr>
              <w:jc w:val="center"/>
            </w:pPr>
          </w:p>
        </w:tc>
      </w:tr>
      <w:tr w14:paraId="70409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305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16D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4462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9B50">
            <w:pPr>
              <w:jc w:val="center"/>
            </w:pPr>
            <w:r>
              <w:rPr>
                <w:rFonts w:ascii="宋体" w:hAnsi="宋体" w:eastAsia="宋体"/>
                <w:sz w:val="16"/>
              </w:rPr>
              <w:t>差旅费补助成本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4DC0">
            <w:pPr>
              <w:jc w:val="center"/>
            </w:pPr>
            <w:r>
              <w:rPr>
                <w:rFonts w:ascii="宋体" w:hAnsi="宋体" w:eastAsia="宋体"/>
                <w:sz w:val="16"/>
              </w:rPr>
              <w:t>&lt;=0.16元/人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D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B9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1B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0D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55F6">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6AEF">
            <w:pPr>
              <w:jc w:val="center"/>
            </w:pPr>
            <w:r>
              <w:rPr>
                <w:rFonts w:ascii="宋体" w:hAnsi="宋体" w:eastAsia="宋体"/>
                <w:sz w:val="16"/>
              </w:rPr>
              <w:t>=0.16元/人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38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4DAE7">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7635F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1B5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197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F3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5E3F6">
            <w:pPr>
              <w:jc w:val="center"/>
            </w:pPr>
            <w:r>
              <w:rPr>
                <w:rFonts w:ascii="宋体" w:hAnsi="宋体" w:eastAsia="宋体"/>
                <w:sz w:val="16"/>
              </w:rPr>
              <w:t>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688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C7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2C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94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40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9943">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04DC">
            <w:pPr>
              <w:jc w:val="center"/>
            </w:pPr>
            <w:r>
              <w:rPr>
                <w:rFonts w:ascii="宋体" w:hAnsi="宋体" w:eastAsia="宋体"/>
                <w:sz w:val="16"/>
              </w:rPr>
              <w:t>=0.53万元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A19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E0695">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6677D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368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3E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AB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CBAC">
            <w:pPr>
              <w:jc w:val="center"/>
            </w:pPr>
            <w:r>
              <w:rPr>
                <w:rFonts w:ascii="宋体" w:hAnsi="宋体" w:eastAsia="宋体"/>
                <w:sz w:val="16"/>
              </w:rPr>
              <w:t>报刊书籍成本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BF2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E7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35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FC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1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A581">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151E">
            <w:pPr>
              <w:jc w:val="center"/>
            </w:pPr>
            <w:r>
              <w:rPr>
                <w:rFonts w:ascii="宋体" w:hAnsi="宋体" w:eastAsia="宋体"/>
                <w:sz w:val="16"/>
              </w:rPr>
              <w:t>=1.1433万元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75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4CA7B">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5DD6B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17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3FF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2CE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5B4C">
            <w:pPr>
              <w:jc w:val="center"/>
            </w:pPr>
            <w:r>
              <w:rPr>
                <w:rFonts w:ascii="宋体" w:hAnsi="宋体" w:eastAsia="宋体"/>
                <w:sz w:val="16"/>
              </w:rPr>
              <w:t>采购办公用品及印刷成本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351A">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0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B0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9D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7B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537E">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8E1A">
            <w:pPr>
              <w:jc w:val="center"/>
            </w:pPr>
            <w:r>
              <w:rPr>
                <w:rFonts w:ascii="宋体" w:hAnsi="宋体" w:eastAsia="宋体"/>
                <w:sz w:val="16"/>
              </w:rPr>
              <w:t>=8.3417万元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4D0B">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C47F9">
            <w:pPr>
              <w:jc w:val="center"/>
            </w:pPr>
            <w:r>
              <w:rPr>
                <w:rFonts w:ascii="宋体" w:hAnsi="宋体" w:eastAsia="宋体"/>
                <w:sz w:val="16"/>
              </w:rPr>
              <w:t>原因：根据实际产生的费用进行支出，因此指标完成情况存在偏差；措施：下一年度做好项目管理，提高工作执行进度，减少偏差。</w:t>
            </w:r>
          </w:p>
        </w:tc>
      </w:tr>
      <w:tr w14:paraId="1CB3D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7F5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09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60A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73E6">
            <w:pPr>
              <w:jc w:val="center"/>
            </w:pPr>
            <w:r>
              <w:rPr>
                <w:rFonts w:ascii="宋体" w:hAnsi="宋体" w:eastAsia="宋体"/>
                <w:sz w:val="16"/>
              </w:rPr>
              <w:t>购买办公设备成本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F246">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62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F9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E27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8E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E41E">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485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623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733FC">
            <w:pPr>
              <w:jc w:val="center"/>
            </w:pPr>
            <w:r>
              <w:rPr>
                <w:rFonts w:ascii="宋体" w:hAnsi="宋体" w:eastAsia="宋体"/>
                <w:sz w:val="16"/>
              </w:rPr>
              <w:t>原因：单位现有办公设备已满足工作需求，因此未产生支出；措施：下一年度做好工作计划，减少偏差。</w:t>
            </w:r>
          </w:p>
        </w:tc>
      </w:tr>
      <w:tr w14:paraId="6F7445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C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EA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46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3423">
            <w:pPr>
              <w:jc w:val="center"/>
            </w:pPr>
            <w:r>
              <w:rPr>
                <w:rFonts w:ascii="宋体" w:hAnsi="宋体" w:eastAsia="宋体"/>
                <w:sz w:val="16"/>
              </w:rPr>
              <w:t>保障单位审计工作顺利开展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7F4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39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3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6B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74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30B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D4F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BA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0B452">
            <w:pPr>
              <w:jc w:val="center"/>
            </w:pPr>
          </w:p>
        </w:tc>
      </w:tr>
      <w:tr w14:paraId="01D83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54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23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E8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583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4A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CC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4B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63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06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C12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B10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D1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04B8">
            <w:pPr>
              <w:jc w:val="center"/>
            </w:pPr>
          </w:p>
        </w:tc>
      </w:tr>
      <w:tr w14:paraId="3FEB3F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76F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ED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6FB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6021">
            <w:pPr>
              <w:jc w:val="center"/>
            </w:pPr>
            <w:r>
              <w:rPr>
                <w:rFonts w:ascii="宋体" w:hAnsi="宋体" w:eastAsia="宋体"/>
                <w:sz w:val="16"/>
              </w:rPr>
              <w:t>66.33分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E391DF"/>
        </w:tc>
      </w:tr>
    </w:tbl>
    <w:p w14:paraId="3B8AFDCB">
      <w:r>
        <w:br w:type="page"/>
      </w:r>
    </w:p>
    <w:p w14:paraId="2C3DBB94">
      <w:pPr>
        <w:spacing w:line="640" w:lineRule="exact"/>
        <w:ind w:firstLine="640"/>
        <w:jc w:val="both"/>
        <w:outlineLvl w:val="2"/>
      </w:pPr>
      <w:r>
        <w:rPr>
          <w:rFonts w:ascii="黑体" w:hAnsi="黑体" w:eastAsia="黑体"/>
          <w:sz w:val="32"/>
        </w:rPr>
        <w:t>十二、其他需说明的事项</w:t>
      </w:r>
    </w:p>
    <w:p w14:paraId="060BC511">
      <w:pPr>
        <w:spacing w:line="580" w:lineRule="exact"/>
        <w:ind w:firstLine="640"/>
        <w:jc w:val="both"/>
      </w:pPr>
      <w:r>
        <w:rPr>
          <w:rFonts w:ascii="仿宋_GB2312" w:hAnsi="仿宋_GB2312" w:eastAsia="仿宋_GB2312"/>
          <w:b w:val="0"/>
          <w:sz w:val="32"/>
        </w:rPr>
        <w:t>本单位无其他需说明的事项。</w:t>
      </w:r>
    </w:p>
    <w:p w14:paraId="40D04AAF">
      <w:r>
        <w:br w:type="page"/>
      </w:r>
    </w:p>
    <w:p w14:paraId="234160E6">
      <w:pPr>
        <w:spacing w:line="240" w:lineRule="auto"/>
        <w:jc w:val="center"/>
        <w:outlineLvl w:val="1"/>
      </w:pPr>
      <w:r>
        <w:rPr>
          <w:rFonts w:ascii="黑体" w:hAnsi="黑体" w:eastAsia="黑体"/>
          <w:sz w:val="32"/>
        </w:rPr>
        <w:t>第三部分 专业名词解释</w:t>
      </w:r>
    </w:p>
    <w:p w14:paraId="7460A57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1CBBF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AF1C9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A4EEE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8793E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9CDA43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99E03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DE86C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48B0D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32C61C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2E11A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7F795D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D5D63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E6080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6B580DB">
      <w:r>
        <w:br w:type="page"/>
      </w:r>
    </w:p>
    <w:p w14:paraId="4B002C57">
      <w:pPr>
        <w:spacing w:line="240" w:lineRule="auto"/>
        <w:jc w:val="center"/>
        <w:outlineLvl w:val="1"/>
      </w:pPr>
      <w:r>
        <w:rPr>
          <w:rFonts w:ascii="黑体" w:hAnsi="黑体" w:eastAsia="黑体"/>
          <w:sz w:val="32"/>
        </w:rPr>
        <w:t>第四部分 部门决算报表（见附表）</w:t>
      </w:r>
    </w:p>
    <w:p w14:paraId="49F6E634">
      <w:pPr>
        <w:spacing w:line="240" w:lineRule="auto"/>
        <w:ind w:firstLine="640"/>
        <w:jc w:val="both"/>
      </w:pPr>
      <w:r>
        <w:rPr>
          <w:rFonts w:ascii="仿宋_GB2312" w:hAnsi="仿宋_GB2312" w:eastAsia="仿宋_GB2312"/>
          <w:b w:val="0"/>
          <w:sz w:val="32"/>
        </w:rPr>
        <w:t>一、《收入支出决算总表》</w:t>
      </w:r>
    </w:p>
    <w:p w14:paraId="2256CD1F">
      <w:pPr>
        <w:spacing w:line="240" w:lineRule="auto"/>
        <w:ind w:firstLine="640"/>
        <w:jc w:val="both"/>
      </w:pPr>
      <w:r>
        <w:rPr>
          <w:rFonts w:ascii="仿宋_GB2312" w:hAnsi="仿宋_GB2312" w:eastAsia="仿宋_GB2312"/>
          <w:b w:val="0"/>
          <w:sz w:val="32"/>
        </w:rPr>
        <w:t>二、《收入决算表》</w:t>
      </w:r>
    </w:p>
    <w:p w14:paraId="48BBAA5A">
      <w:pPr>
        <w:spacing w:line="240" w:lineRule="auto"/>
        <w:ind w:firstLine="640"/>
        <w:jc w:val="both"/>
      </w:pPr>
      <w:r>
        <w:rPr>
          <w:rFonts w:ascii="仿宋_GB2312" w:hAnsi="仿宋_GB2312" w:eastAsia="仿宋_GB2312"/>
          <w:b w:val="0"/>
          <w:sz w:val="32"/>
        </w:rPr>
        <w:t>三、《支出决算表》</w:t>
      </w:r>
    </w:p>
    <w:p w14:paraId="72C29C35">
      <w:pPr>
        <w:spacing w:line="240" w:lineRule="auto"/>
        <w:ind w:firstLine="640"/>
        <w:jc w:val="both"/>
      </w:pPr>
      <w:r>
        <w:rPr>
          <w:rFonts w:ascii="仿宋_GB2312" w:hAnsi="仿宋_GB2312" w:eastAsia="仿宋_GB2312"/>
          <w:b w:val="0"/>
          <w:sz w:val="32"/>
        </w:rPr>
        <w:t>四、《财政拨款收入支出决算总表》</w:t>
      </w:r>
    </w:p>
    <w:p w14:paraId="5432F52D">
      <w:pPr>
        <w:spacing w:line="240" w:lineRule="auto"/>
        <w:ind w:firstLine="640"/>
        <w:jc w:val="both"/>
      </w:pPr>
      <w:r>
        <w:rPr>
          <w:rFonts w:ascii="仿宋_GB2312" w:hAnsi="仿宋_GB2312" w:eastAsia="仿宋_GB2312"/>
          <w:b w:val="0"/>
          <w:sz w:val="32"/>
        </w:rPr>
        <w:t>五、《一般公共预算财政拨款支出决算表》</w:t>
      </w:r>
    </w:p>
    <w:p w14:paraId="7CD81A8B">
      <w:pPr>
        <w:spacing w:line="240" w:lineRule="auto"/>
        <w:ind w:firstLine="640"/>
        <w:jc w:val="both"/>
      </w:pPr>
      <w:r>
        <w:rPr>
          <w:rFonts w:ascii="仿宋_GB2312" w:hAnsi="仿宋_GB2312" w:eastAsia="仿宋_GB2312"/>
          <w:b w:val="0"/>
          <w:sz w:val="32"/>
        </w:rPr>
        <w:t>六、《一般公共预算财政拨款基本支出决算表》</w:t>
      </w:r>
    </w:p>
    <w:p w14:paraId="555E4B86">
      <w:pPr>
        <w:spacing w:line="240" w:lineRule="auto"/>
        <w:ind w:firstLine="640"/>
        <w:jc w:val="both"/>
      </w:pPr>
      <w:r>
        <w:rPr>
          <w:rFonts w:ascii="仿宋_GB2312" w:hAnsi="仿宋_GB2312" w:eastAsia="仿宋_GB2312"/>
          <w:b w:val="0"/>
          <w:sz w:val="32"/>
        </w:rPr>
        <w:t>七、《政府性基金预算财政拨款收入支出决算表》</w:t>
      </w:r>
    </w:p>
    <w:p w14:paraId="1D4798EB">
      <w:pPr>
        <w:spacing w:line="240" w:lineRule="auto"/>
        <w:ind w:firstLine="640"/>
        <w:jc w:val="both"/>
      </w:pPr>
      <w:r>
        <w:rPr>
          <w:rFonts w:ascii="仿宋_GB2312" w:hAnsi="仿宋_GB2312" w:eastAsia="仿宋_GB2312"/>
          <w:b w:val="0"/>
          <w:sz w:val="32"/>
        </w:rPr>
        <w:t>八、《国有资本经营预算财政拨款收入支出决算表》</w:t>
      </w:r>
    </w:p>
    <w:p w14:paraId="2B331687">
      <w:pPr>
        <w:spacing w:line="240" w:lineRule="auto"/>
        <w:ind w:firstLine="640"/>
        <w:jc w:val="both"/>
      </w:pPr>
      <w:r>
        <w:rPr>
          <w:rFonts w:ascii="仿宋_GB2312" w:hAnsi="仿宋_GB2312" w:eastAsia="仿宋_GB2312"/>
          <w:b w:val="0"/>
          <w:sz w:val="32"/>
        </w:rPr>
        <w:t>九、《财政拨款“三公”经费支出决算表》</w:t>
      </w:r>
    </w:p>
    <w:p w14:paraId="784C3A4D">
      <w:pPr>
        <w:spacing w:line="240" w:lineRule="auto"/>
        <w:ind w:firstLine="640"/>
        <w:jc w:val="both"/>
      </w:pPr>
    </w:p>
    <w:p w14:paraId="00211E8E">
      <w:pPr>
        <w:spacing w:line="240" w:lineRule="auto"/>
        <w:ind w:firstLine="640"/>
        <w:jc w:val="both"/>
      </w:pPr>
    </w:p>
    <w:p w14:paraId="5960C277">
      <w:pPr>
        <w:spacing w:line="240" w:lineRule="auto"/>
        <w:ind w:firstLine="640"/>
        <w:jc w:val="both"/>
      </w:pPr>
    </w:p>
    <w:p w14:paraId="46A7ABB2">
      <w:pPr>
        <w:spacing w:line="240" w:lineRule="auto"/>
        <w:ind w:firstLine="640"/>
        <w:jc w:val="both"/>
      </w:pPr>
    </w:p>
    <w:p w14:paraId="641E949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6651E"/>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ED072DE"/>
    <w:rsid w:val="3EEF5407"/>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3166CE"/>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1024</Words>
  <Characters>1091</Characters>
  <Lines>0</Lines>
  <Paragraphs>0</Paragraphs>
  <TotalTime>11</TotalTime>
  <ScaleCrop>false</ScaleCrop>
  <LinksUpToDate>false</LinksUpToDate>
  <CharactersWithSpaces>1099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2025-09-08T10:11:43Z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