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中职生均公用经费（地方配套）</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中职生均公用经费（地方配套）</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阿图什市中等职业技术学校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阿图什市中等职业技术学校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中职生均公用经费（地方配套）</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根据自治州“十四五”规划及教育发展需要，同级教育部门统筹安排，同级财政部门监督管理，加快发展地方教育事业，扩大教育附加费的资金来源，结合我校教育经费管理，按照年度工作计划，为进一步优化教育结构，促进教育公平，优化结构、优先保障，深化改革、强化管理，最终提高教学效益，</w:t>
      </w:r>
      <w:r>
        <w:rPr>
          <w:rFonts w:hint="eastAsia" w:ascii="仿宋_GB2312" w:hAnsi="仿宋" w:cs="宋体"/>
          <w:color w:val="auto"/>
          <w:sz w:val="32"/>
          <w:szCs w:val="32"/>
          <w:highlight w:val="none"/>
          <w:lang w:val="en-US" w:eastAsia="zh-CN"/>
        </w:rPr>
        <w:t>实施</w:t>
      </w:r>
      <w:r>
        <w:rPr>
          <w:rFonts w:hint="eastAsia" w:ascii="仿宋_GB2312" w:hAnsi="仿宋" w:cs="宋体"/>
          <w:color w:val="auto"/>
          <w:sz w:val="32"/>
          <w:szCs w:val="32"/>
          <w:highlight w:val="none"/>
        </w:rPr>
        <w:t>开展中职生均公用经费（地方配套）</w:t>
      </w:r>
      <w:r>
        <w:rPr>
          <w:rFonts w:hint="eastAsia" w:ascii="仿宋_GB2312" w:hAnsi="仿宋" w:cs="宋体"/>
          <w:color w:val="auto"/>
          <w:sz w:val="32"/>
          <w:szCs w:val="32"/>
          <w:highlight w:val="none"/>
          <w:lang w:val="en-US" w:eastAsia="zh-CN"/>
        </w:rPr>
        <w:t>项目</w:t>
      </w:r>
      <w:r>
        <w:rPr>
          <w:rFonts w:hint="eastAsia" w:ascii="仿宋_GB2312" w:hAnsi="仿宋" w:cs="宋体"/>
          <w:color w:val="auto"/>
          <w:sz w:val="32"/>
          <w:szCs w:val="32"/>
          <w:highlight w:val="none"/>
        </w:rPr>
        <w:t>。本项目立项依据为:印发《关于教育领域自治区以下财政事权和支出责任划分改革实施方案的通知》(新政办发(2020]45号)。</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教育领域自治区以下财政事权和支出责任划分改革实施方案的通知《新政办发【2020】45号，安排项目资金61.4万元，用于为我校采购办公用品和校舍维修；通过项目的实施，为我校师生提供良好的教学生活环境，培养学生身心全面发展</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阿图什市中等职业技术学校</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阿图什市中等职业技术学校</w:t>
      </w:r>
      <w:r>
        <w:rPr>
          <w:rFonts w:hint="eastAsia" w:ascii="仿宋_GB2312" w:hAnsi="仿宋_GB2312" w:cs="仿宋_GB2312"/>
          <w:bCs/>
          <w:color w:val="auto"/>
          <w:sz w:val="32"/>
          <w:szCs w:val="30"/>
          <w:highlight w:val="none"/>
        </w:rPr>
        <w:t>，主要职责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根据经费使用相关制度和实施方案明确资金使用范围，及时监管经费使用情况和动态</w:t>
      </w:r>
      <w:r>
        <w:rPr>
          <w:rFonts w:hint="eastAsia" w:ascii="仿宋_GB2312" w:hAnsi="仿宋_GB2312" w:cs="仿宋_GB2312"/>
          <w:bCs/>
          <w:color w:val="auto"/>
          <w:sz w:val="32"/>
          <w:szCs w:val="30"/>
          <w:highlight w:val="none"/>
        </w:rPr>
        <w:t>，项目实施后进行及时验收及后期管理。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本项目共计支出6.1064万元，用于购买办公用品数量2批次，校舍维修维护期限12个月；通过实施本项目为我校师生提供良好的教学生活环境，培养学生身心全面发展。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61.40万元</w:t>
      </w:r>
      <w:r>
        <w:rPr>
          <w:rStyle w:val="11"/>
          <w:rFonts w:hint="eastAsia" w:ascii="仿宋_GB2312" w:hAnsi="仿宋_GB2312" w:cs="仿宋_GB2312"/>
          <w:b w:val="0"/>
          <w:bCs w:val="0"/>
          <w:color w:val="auto"/>
          <w:spacing w:val="-4"/>
          <w:sz w:val="32"/>
          <w:szCs w:val="30"/>
          <w:highlight w:val="none"/>
        </w:rPr>
        <w:t>，资金来源为本级部门预算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6.11万元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10%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购买办公用品成本2.2064万元；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校舍维修维护成本3.9万元。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教育领域自治区以下财政事权和支出责任划分改革实施方案的通知《新政办法【2020】45号，安排项目资金61.4万元，用于为我校采购办公用品和校舍维修；通过项目的实施，为我校师生提供良好的教学生活环境，培养学生身心全面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eastAsia="仿宋_GB2312" w:cs="宋体"/>
          <w:color w:val="auto"/>
          <w:sz w:val="32"/>
          <w:szCs w:val="32"/>
          <w:highlight w:val="none"/>
          <w:lang w:val="en-US" w:eastAsia="zh-CN"/>
        </w:rPr>
      </w:pPr>
      <w:r>
        <w:rPr>
          <w:rFonts w:hint="eastAsia" w:ascii="仿宋_GB2312" w:hAnsi="仿宋_GB2312" w:cs="仿宋_GB2312"/>
          <w:color w:val="auto"/>
          <w:sz w:val="32"/>
          <w:highlight w:val="none"/>
        </w:rPr>
        <w:t>阶段性目标为：根据《关于教育领域自治区以下财政事权和支出责任划分改革实施方案的通知《新政办法【2020】45号，安排项目资金61.4万元，用于为我校采购办公用品和校舍维修；通过项目的实施，为我校师生提供良好的教学生活环境，培养学生身心全面发展</w:t>
      </w:r>
      <w:r>
        <w:rPr>
          <w:rFonts w:hint="eastAsia" w:ascii="仿宋_GB2312" w:hAnsi="仿宋_GB2312" w:cs="仿宋_GB2312"/>
          <w:color w:val="auto"/>
          <w:sz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中职生均公用经费（地方配套）</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eastAsia="仿宋_GB2312" w:cs="仿宋_GB2312"/>
          <w:b/>
          <w:color w:val="auto"/>
          <w:sz w:val="32"/>
          <w:highlight w:val="none"/>
          <w:lang w:eastAsia="zh-CN"/>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中职生均公用经费（地方配套）的深入调研基础上，按照《项目支出绩效评价管理办法》（财预〔2021〕10号）对于指标体系的要求和规范，建立一套适合评价中职生均公用经费（地方配套）的指标体系，从项目决策、项目过程、项目产出和项目绩效四个维度全面考察中职生均公用经费（地方配套）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中职生均公用经费（地方配套）</w:t>
      </w:r>
      <w:r>
        <w:rPr>
          <w:rFonts w:hint="eastAsia" w:ascii="仿宋_GB2312" w:hAnsi="仿宋_GB2312" w:eastAsia="仿宋_GB2312" w:cs="仿宋_GB2312"/>
          <w:color w:val="auto"/>
          <w:sz w:val="32"/>
          <w:szCs w:val="24"/>
          <w:highlight w:val="none"/>
          <w:lang w:val="en-US" w:eastAsia="zh-CN" w:bidi="ar-SA"/>
        </w:rPr>
        <w:t>属于新领域发展项目，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相应的行业标准，故采用</w:t>
      </w:r>
      <w:r>
        <w:rPr>
          <w:rFonts w:hint="eastAsia" w:ascii="仿宋_GB2312" w:eastAsia="仿宋_GB2312"/>
          <w:color w:val="auto"/>
          <w:sz w:val="32"/>
          <w:highlight w:val="none"/>
        </w:rPr>
        <w:t>计划标准、行业标准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阿力木江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穆萨江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肉孜古丽</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中职生均公用经费（地方配套）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组织管理、产出与效益效果。在此基础上，以相关的项目数据为基础，综合运用不同的评价方法，结合评价标准和评分规则，中职生均公用经费（地方配套）综合得分为88.50分，</w:t>
      </w:r>
      <w:r>
        <w:rPr>
          <w:rFonts w:hint="eastAsia" w:ascii="仿宋_GB2312" w:hAnsi="Cambria" w:eastAsia="仿宋_GB2312"/>
          <w:color w:val="auto"/>
          <w:sz w:val="32"/>
          <w:szCs w:val="32"/>
          <w:highlight w:val="none"/>
        </w:rPr>
        <w:t>评价结果为良。</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中职生均公用经费（地方配套）评价得分情况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12.50</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项目预算执行率10%。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未完成成本指标数量2个。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88.50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中职生均公用经费（地方配套）</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本项目共计支出6.1064万元，用于购买办公用品数量2批次，校舍维修维护期限12个月；通过实施本项目为我校师生提供良好的教学生活环境，培养学生身心全面发展。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中职生均公用经费（地方配套）</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6.11万元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88.50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中职生均公用经费（地方配套）</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中职生均公用经费（地方配套）</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中职生均公用经费（地方配套）</w:t>
      </w:r>
      <w:r>
        <w:rPr>
          <w:rFonts w:hint="eastAsia" w:ascii="仿宋_GB2312" w:hAnsi="仿宋_GB2312" w:cs="仿宋_GB2312"/>
          <w:color w:val="auto"/>
          <w:sz w:val="32"/>
          <w:szCs w:val="32"/>
          <w:highlight w:val="none"/>
        </w:rPr>
        <w:t>组织形式，明确了该项目经费的开支范围为用于购买办公用品</w:t>
      </w:r>
      <w:r>
        <w:rPr>
          <w:rFonts w:hint="eastAsia" w:ascii="仿宋_GB2312" w:hAnsi="仿宋_GB2312" w:cs="仿宋_GB2312"/>
          <w:color w:val="auto"/>
          <w:sz w:val="32"/>
          <w:szCs w:val="32"/>
          <w:highlight w:val="none"/>
          <w:lang w:val="en-US" w:eastAsia="zh-CN"/>
        </w:rPr>
        <w:t>费用</w:t>
      </w:r>
      <w:r>
        <w:rPr>
          <w:rFonts w:hint="eastAsia" w:ascii="仿宋_GB2312" w:hAnsi="仿宋_GB2312" w:cs="仿宋_GB2312"/>
          <w:color w:val="auto"/>
          <w:sz w:val="32"/>
          <w:szCs w:val="32"/>
          <w:highlight w:val="none"/>
        </w:rPr>
        <w:t>，校舍维修维护</w:t>
      </w:r>
      <w:r>
        <w:rPr>
          <w:rFonts w:hint="eastAsia" w:ascii="仿宋_GB2312" w:hAnsi="仿宋_GB2312" w:cs="仿宋_GB2312"/>
          <w:color w:val="auto"/>
          <w:sz w:val="32"/>
          <w:szCs w:val="32"/>
          <w:highlight w:val="none"/>
          <w:lang w:val="en-US" w:eastAsia="zh-CN"/>
        </w:rPr>
        <w:t>费用</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w:t>
      </w:r>
      <w:r>
        <w:rPr>
          <w:rFonts w:hint="eastAsia" w:ascii="仿宋_GB2312" w:hAnsi="仿宋_GB2312" w:cs="仿宋_GB2312"/>
          <w:color w:val="auto"/>
          <w:sz w:val="32"/>
          <w:szCs w:val="32"/>
          <w:highlight w:val="none"/>
          <w:lang w:eastAsia="zh-CN"/>
        </w:rPr>
        <w:t>中职生均公用经费（地方配套）</w:t>
      </w:r>
      <w:r>
        <w:rPr>
          <w:rFonts w:hint="eastAsia" w:ascii="仿宋_GB2312" w:hAnsi="仿宋_GB2312" w:cs="仿宋_GB2312"/>
          <w:color w:val="auto"/>
          <w:sz w:val="32"/>
          <w:szCs w:val="32"/>
          <w:highlight w:val="none"/>
          <w:lang w:val="en-US" w:eastAsia="zh-CN"/>
        </w:rPr>
        <w:t>的采购</w:t>
      </w:r>
      <w:r>
        <w:rPr>
          <w:rFonts w:hint="eastAsia" w:ascii="仿宋_GB2312" w:hAnsi="仿宋_GB2312" w:cs="仿宋_GB2312"/>
          <w:color w:val="auto"/>
          <w:sz w:val="32"/>
          <w:szCs w:val="32"/>
          <w:highlight w:val="none"/>
        </w:rPr>
        <w:t>需求，选择合规可行的采购形式，将采购政策、采购程序、采购过程规范化、透明化，提升</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专项资金的使用效果。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中职生均公用经费（地方配套）</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数量指标为购买办公用品数量，预期指标值为大于等于2批次，实际完成值为2批次，指标达到预期目标。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数量指标为校舍维修维护期限，预期指标值为等于12个月，实际完成值为12个月，指标达到预期目标。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质量指标为办公用品验收合格率，预期指标值为等于100%，实际完成值为100%，指标达到预期目标。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质量指标为校舍维修质量达标率，预期指标值为等于100%，实际完成值为100%，指标达到预期目标。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购买办公用品成本，预期指标值为小于等于25万元，实际完成值为2.2064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校舍维修维护成本，预期指标值为小于等于36.40万元，实际完成值为3.9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社会效益指标为加快发展地方教育事业发展，预期指标值为效果显著，实际完成值为效果显著，指标达到预期目标。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满意度指标为工作人员满意度，预期指标值为大于等于95%，经问卷调查，实际完成值为95%，指标达到预期目标。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本项目全年预算数</w:t>
      </w:r>
      <w:r>
        <w:rPr>
          <w:rFonts w:hint="eastAsia"/>
          <w:color w:val="auto"/>
          <w:sz w:val="32"/>
          <w:highlight w:val="none"/>
          <w:lang w:eastAsia="zh-CN"/>
        </w:rPr>
        <w:t>61.40万元</w:t>
      </w:r>
      <w:r>
        <w:rPr>
          <w:rFonts w:hint="eastAsia"/>
          <w:color w:val="auto"/>
          <w:sz w:val="32"/>
          <w:highlight w:val="none"/>
        </w:rPr>
        <w:t>，执行数</w:t>
      </w:r>
      <w:r>
        <w:rPr>
          <w:rFonts w:hint="eastAsia"/>
          <w:color w:val="auto"/>
          <w:sz w:val="32"/>
          <w:highlight w:val="none"/>
          <w:lang w:eastAsia="zh-CN"/>
        </w:rPr>
        <w:t>6.11万元</w:t>
      </w:r>
      <w:r>
        <w:rPr>
          <w:rFonts w:hint="eastAsia"/>
          <w:color w:val="auto"/>
          <w:sz w:val="32"/>
          <w:highlight w:val="none"/>
        </w:rPr>
        <w:t>，执行率</w:t>
      </w:r>
      <w:r>
        <w:rPr>
          <w:rFonts w:hint="eastAsia"/>
          <w:color w:val="auto"/>
          <w:sz w:val="32"/>
          <w:highlight w:val="none"/>
          <w:lang w:eastAsia="zh-CN"/>
        </w:rPr>
        <w:t>10%</w:t>
      </w:r>
      <w:r>
        <w:rPr>
          <w:rFonts w:hint="eastAsia"/>
          <w:color w:val="auto"/>
          <w:sz w:val="32"/>
          <w:highlight w:val="none"/>
        </w:rPr>
        <w:t>，绩效指标完成率</w:t>
      </w:r>
      <w:r>
        <w:rPr>
          <w:rFonts w:hint="eastAsia"/>
          <w:color w:val="auto"/>
          <w:sz w:val="32"/>
          <w:highlight w:val="none"/>
          <w:lang w:val="en-US" w:eastAsia="zh-CN"/>
        </w:rPr>
        <w:t>79.95%</w:t>
      </w:r>
      <w:r>
        <w:rPr>
          <w:rFonts w:hint="eastAsia"/>
          <w:color w:val="auto"/>
          <w:sz w:val="32"/>
          <w:highlight w:val="none"/>
        </w:rPr>
        <w:t>，偏差率</w:t>
      </w:r>
      <w:r>
        <w:rPr>
          <w:rFonts w:hint="eastAsia"/>
          <w:color w:val="auto"/>
          <w:sz w:val="32"/>
          <w:highlight w:val="none"/>
          <w:lang w:val="en-US" w:eastAsia="zh-CN"/>
        </w:rPr>
        <w:t>69.95%</w:t>
      </w:r>
      <w:r>
        <w:rPr>
          <w:rFonts w:hint="eastAsia"/>
          <w:color w:val="auto"/>
          <w:sz w:val="32"/>
          <w:highlight w:val="none"/>
        </w:rPr>
        <w:t>。偏差原因：</w:t>
      </w:r>
      <w:r>
        <w:rPr>
          <w:rFonts w:hint="eastAsia"/>
          <w:color w:val="auto"/>
          <w:sz w:val="32"/>
          <w:highlight w:val="none"/>
          <w:lang w:val="en-US" w:eastAsia="zh-CN"/>
        </w:rPr>
        <w:t>项目部分支出资料及手续不完整，导致指标未能完成。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lang w:val="en-US" w:eastAsia="zh-CN"/>
        </w:rPr>
        <w:t>经济成本指标“购买办公用品成本”和“校舍维修维护成本”指标未达到预期目标的原因为：项目部分支出资料及手续不完整，导致指标未能完成；下一步措施是：下一年度做好项目管理工作，及时收集、完善支出资料，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88.50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D6C4"/>
    <w:multiLevelType w:val="multilevel"/>
    <w:tmpl w:val="68CBD6C4"/>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D6CF"/>
    <w:multiLevelType w:val="singleLevel"/>
    <w:tmpl w:val="68CBD6CF"/>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A1B6738"/>
    <w:rsid w:val="5F3C05F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5C870B0235B64B728A658FCCE2675C19_13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040c3-fb4c-45bf-b4cb-6105c00a523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4193</Words>
  <Characters>4305</Characters>
  <Lines>56</Lines>
  <Paragraphs>15</Paragraphs>
  <TotalTime>15</TotalTime>
  <ScaleCrop>false</ScaleCrop>
  <LinksUpToDate>false</LinksUpToDate>
  <CharactersWithSpaces>4307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2025-09-18T09:53:54Z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5C870B0235B64B728A658FCCE2675C19_13</vt:lpwstr>
  </property>
  <property fmtid="{D5CDD505-2E9C-101B-9397-08002B2CF9AE}" pid="4" name="KSOTemplateDocerSaveRecord">
    <vt:lpwstr>eyJoZGlkIjoiNDI0NDJkOGYwMTkzMjYxMzMxMmY2Njg1ZjNkYzk2MzkiLCJ1c2VySWQiOiIzMzAyMjM5MTcifQ_x003D__x003D_</vt:lpwstr>
  </property>
</Properties>
</file>