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社区运转经费项目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项目名称：社区运转经费项目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项目单位：阿图什市新城街道办事处</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主管部门：阿图什市新城街道办事处</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社区运转经费项目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根据阿图什市“十四五”规划及街道社区各项事业发展需要，按照自治区《关于加强基层</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体系和</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能力现代化建设的工作实施方案》和阿图什市委《关于健全党建引领基层</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工作体系的指导意见》相关要求，结合本单位各社区在维护稳定、基层党建、安全生产、企业管理、群众服务、民生保障等方面管理职能，按照年度工作计划，开展社区运转经费项目。 一是推动基层政府权力运行机制规约化。加强多渠道的监督机制建设，推动政府部门依法行政，完善政府及相关职能部门的权力清单、责任清单和负面清单，把权力关进制度的笼子里，保障权力在阳光下规范运行。对负面清单之外的公共领域，应鼓励社会组织</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市场力量积极参</w:t>
      </w:r>
      <w:r>
        <w:rPr>
          <w:rFonts w:hint="eastAsia" w:ascii="仿宋_GB2312" w:hAnsi="仿宋_GB2312" w:cs="仿宋_GB2312"/>
          <w:color w:val="auto"/>
          <w:sz w:val="32"/>
          <w:szCs w:val="32"/>
          <w:highlight w:val="none"/>
          <w:lang w:eastAsia="zh-CN"/>
        </w:rPr>
        <w:t>加</w:t>
      </w:r>
      <w:r>
        <w:rPr>
          <w:rFonts w:hint="eastAsia" w:ascii="仿宋_GB2312" w:hAnsi="仿宋_GB2312" w:cs="仿宋_GB2312"/>
          <w:color w:val="auto"/>
          <w:sz w:val="32"/>
          <w:szCs w:val="32"/>
          <w:highlight w:val="none"/>
        </w:rPr>
        <w:t>，推动社区</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内生力量的培育。二是增强社会组织培育的机制韧性。社会组织是社区</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主体的重要组成部分，强化社会组织培育机制，是拓展社区</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主体的重要路径。通过发挥基于市民趣缘、业缘、地缘等元素建构的社区自组织功能，及时高效处理邻里纠纷、</w:t>
      </w:r>
      <w:r>
        <w:rPr>
          <w:rFonts w:hint="eastAsia" w:ascii="仿宋_GB2312" w:hAnsi="仿宋_GB2312" w:cs="仿宋_GB2312"/>
          <w:color w:val="auto"/>
          <w:sz w:val="32"/>
          <w:szCs w:val="32"/>
          <w:highlight w:val="none"/>
          <w:lang w:eastAsia="zh-CN"/>
        </w:rPr>
        <w:t>sqjz</w:t>
      </w:r>
      <w:r>
        <w:rPr>
          <w:rFonts w:hint="eastAsia" w:ascii="仿宋_GB2312" w:hAnsi="仿宋_GB2312" w:cs="仿宋_GB2312"/>
          <w:color w:val="auto"/>
          <w:sz w:val="32"/>
          <w:szCs w:val="32"/>
          <w:highlight w:val="none"/>
        </w:rPr>
        <w:t>、空巢老人居家养老等公共事务，以提升居民生活的社区认同感</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幸福感。三是完善社区居民公共精神与公共素养的培育机制。居民作为社区核心主体，公共素养的培育有助于居民基于公共理性参与公共事务协商，并在社区协商议事等公共活动中不断锤炼自身的协商技能与决策能力。只有让居民形成“社区公共福祉最大化”的价值共识，才能优化高质量的社区</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机制。</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根据《阿图什市新城街道办事处工作会议纪要》，安排项目资金45万元，主要用于</w:t>
      </w:r>
      <w:r>
        <w:rPr>
          <w:rFonts w:hint="eastAsia" w:ascii="仿宋_GB2312" w:hAnsi="仿宋_GB2312" w:cs="仿宋_GB2312"/>
          <w:color w:val="auto"/>
          <w:sz w:val="32"/>
          <w:szCs w:val="30"/>
          <w:highlight w:val="none"/>
          <w:lang w:eastAsia="zh-CN"/>
        </w:rPr>
        <w:t>zf</w:t>
      </w:r>
      <w:r>
        <w:rPr>
          <w:rFonts w:hint="eastAsia" w:ascii="仿宋_GB2312" w:hAnsi="仿宋_GB2312" w:cs="仿宋_GB2312"/>
          <w:color w:val="auto"/>
          <w:sz w:val="32"/>
          <w:szCs w:val="30"/>
          <w:highlight w:val="none"/>
        </w:rPr>
        <w:t>宣讲活动次数2次，开展群众文化活动场次12场次，印刷宣传资料数量6批次，采购办公家具数量1个，维护信息化平台数量3个；通过项目的实施，达到社区干部各项业务水平大幅度提升，提高服务群众工作质量</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新城街道办事处,实施单位为阿图什市新城街道办事处，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45</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资金使用情况：根据项目实施情况，项目资金实际支付31.7095万元，资金执行率达到</w:t>
      </w:r>
      <w:r>
        <w:rPr>
          <w:rStyle w:val="11"/>
          <w:rFonts w:hint="eastAsia" w:ascii="仿宋_GB2312" w:hAnsi="仿宋_GB2312" w:cs="仿宋_GB2312"/>
          <w:b w:val="0"/>
          <w:color w:val="auto"/>
          <w:spacing w:val="-4"/>
          <w:sz w:val="32"/>
          <w:szCs w:val="30"/>
          <w:highlight w:val="none"/>
          <w:lang w:val="en-US" w:eastAsia="zh-CN"/>
        </w:rPr>
        <w:t>70.5</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社区运转业务经费</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rPr>
        <w:t>26.478万元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基本建设成本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4.7815万元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采购办公家具成本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0.45万元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年度总体目标为：根据《阿图什市新城街道办事处工作会议纪要》，安排项目资金45万元，主要用于</w:t>
      </w:r>
      <w:r>
        <w:rPr>
          <w:rFonts w:hint="eastAsia" w:ascii="仿宋_GB2312" w:hAnsi="仿宋_GB2312" w:cs="仿宋_GB2312"/>
          <w:color w:val="auto"/>
          <w:sz w:val="32"/>
          <w:highlight w:val="none"/>
          <w:lang w:eastAsia="zh-CN"/>
        </w:rPr>
        <w:t>zf</w:t>
      </w:r>
      <w:r>
        <w:rPr>
          <w:rFonts w:hint="eastAsia" w:ascii="仿宋_GB2312" w:hAnsi="仿宋_GB2312" w:cs="仿宋_GB2312"/>
          <w:color w:val="auto"/>
          <w:sz w:val="32"/>
          <w:highlight w:val="none"/>
        </w:rPr>
        <w:t>宣讲活动次数2次，开展群众文化活动场次12场次，印刷宣传资料数量6批次，采购办公家具数量1个，维护信息化平台数量3个；通过项目的实施，达到社区干部各项业务水平大幅度提升，提高服务群众工作质量。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社区运转经费项目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社区运转经费项目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社区运转经费项目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社区运转经费项目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w:t>
      </w:r>
      <w:r>
        <w:rPr>
          <w:rFonts w:hint="eastAsia" w:ascii="仿宋_GB2312" w:hAnsi="仿宋_GB2312" w:cs="仿宋_GB2312"/>
          <w:color w:val="auto"/>
          <w:sz w:val="32"/>
          <w:highlight w:val="none"/>
          <w:lang w:eastAsia="zh-CN"/>
        </w:rPr>
        <w:t>cy</w:t>
      </w:r>
      <w:r>
        <w:rPr>
          <w:rFonts w:hint="eastAsia" w:ascii="仿宋_GB2312" w:hAnsi="仿宋_GB2312" w:cs="仿宋_GB2312"/>
          <w:color w:val="auto"/>
          <w:sz w:val="32"/>
          <w:highlight w:val="none"/>
        </w:rPr>
        <w:t>调查等方式评价本项目实施后社会公众对于其实施效果的满意程度，将调研结果按照《项目支出绩效评价管理办</w:t>
      </w:r>
      <w:bookmarkStart w:id="0" w:name="_GoBack"/>
      <w:r>
        <w:rPr>
          <w:rFonts w:hint="eastAsia" w:ascii="仿宋_GB2312" w:hAnsi="仿宋_GB2312" w:cs="仿宋_GB2312"/>
          <w:color w:val="auto"/>
          <w:sz w:val="32"/>
          <w:highlight w:val="none"/>
        </w:rPr>
        <w:t>法</w:t>
      </w:r>
      <w:bookmarkEnd w:id="0"/>
      <w:r>
        <w:rPr>
          <w:rFonts w:hint="eastAsia" w:ascii="仿宋_GB2312" w:hAnsi="仿宋_GB2312" w:cs="仿宋_GB2312"/>
          <w:color w:val="auto"/>
          <w:sz w:val="32"/>
          <w:highlight w:val="none"/>
        </w:rPr>
        <w:t>》（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w:t>
      </w:r>
      <w:r>
        <w:rPr>
          <w:rFonts w:hint="eastAsia" w:ascii="仿宋_GB2312" w:hAnsi="仿宋_GB2312" w:cs="仿宋_GB2312"/>
          <w:color w:val="auto"/>
          <w:sz w:val="32"/>
          <w:highlight w:val="none"/>
          <w:lang w:eastAsia="zh-CN"/>
        </w:rPr>
        <w:t>cy</w:t>
      </w:r>
      <w:r>
        <w:rPr>
          <w:rFonts w:hint="eastAsia" w:ascii="仿宋_GB2312" w:hAnsi="仿宋_GB2312" w:cs="仿宋_GB2312"/>
          <w:color w:val="auto"/>
          <w:sz w:val="32"/>
          <w:highlight w:val="none"/>
        </w:rPr>
        <w:t>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社区运转经费项目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4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6"/>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746"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46"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吕鑫强</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46"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艾白都拉·卡德尔</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46"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巴提玛·木沙</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社区运转经费项目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组织管理、产出与效益效果。在此基础上，以相关的项目数据为基础，综合运用不同的评价方法，结合评价标准和评分规则，社区运转经费项目综合得分为94.8分，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年社区运转经费项目评价得分情况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18"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07"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15.5</w:t>
            </w:r>
          </w:p>
        </w:tc>
        <w:tc>
          <w:tcPr>
            <w:tcW w:w="3866" w:type="dxa"/>
            <w:tcBorders>
              <w:top w:val="single" w:color="auto" w:sz="4" w:space="0"/>
              <w:left w:val="single" w:color="auto" w:sz="4" w:space="0"/>
              <w:right w:val="single" w:color="auto" w:sz="4" w:space="0"/>
            </w:tcBorders>
            <w:shd w:val="clear" w:color="auto" w:fill="FFFFFF"/>
            <w:vAlign w:val="bottom"/>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预算执行率扣1.5分</w:t>
            </w:r>
          </w:p>
        </w:tc>
      </w:tr>
      <w:tr>
        <w:tblPrEx>
          <w:tblLayout w:type="fixed"/>
          <w:tblCellMar>
            <w:top w:w="0" w:type="dxa"/>
            <w:left w:w="10" w:type="dxa"/>
            <w:bottom w:w="0" w:type="dxa"/>
            <w:right w:w="10" w:type="dxa"/>
          </w:tblCellMar>
        </w:tblPrEx>
        <w:trPr>
          <w:trHeight w:val="618"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26.3</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成本指标扣3.7分</w:t>
            </w:r>
          </w:p>
        </w:tc>
      </w:tr>
      <w:tr>
        <w:tblPrEx>
          <w:tblLayout w:type="fixed"/>
          <w:tblCellMar>
            <w:top w:w="0" w:type="dxa"/>
            <w:left w:w="10" w:type="dxa"/>
            <w:bottom w:w="0" w:type="dxa"/>
            <w:right w:w="10" w:type="dxa"/>
          </w:tblCellMar>
        </w:tblPrEx>
        <w:trPr>
          <w:trHeight w:val="558"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94.8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社区运转经费项目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w:t>
      </w:r>
      <w:r>
        <w:rPr>
          <w:rFonts w:hint="eastAsia" w:ascii="仿宋_GB2312" w:hAnsi="仿宋_GB2312" w:cs="仿宋_GB2312"/>
          <w:color w:val="auto"/>
          <w:sz w:val="32"/>
          <w:szCs w:val="32"/>
          <w:highlight w:val="none"/>
          <w:lang w:eastAsia="zh-CN"/>
        </w:rPr>
        <w:t>zf</w:t>
      </w:r>
      <w:r>
        <w:rPr>
          <w:rFonts w:hint="eastAsia" w:ascii="仿宋_GB2312" w:hAnsi="仿宋_GB2312" w:cs="仿宋_GB2312"/>
          <w:color w:val="auto"/>
          <w:sz w:val="32"/>
          <w:szCs w:val="32"/>
          <w:highlight w:val="none"/>
        </w:rPr>
        <w:t>宣讲活动次数2次，开展群众文化活动场次12场次，印刷宣传资料数量6批次，采购办公家具数量1个，维护信息化平台数量3个等工作；通过该项目的实施达到社区干部各项业务水平大幅度提升，提高服务群众工作质量。</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社区运转经费项目</w:t>
      </w:r>
      <w:r>
        <w:rPr>
          <w:rFonts w:hint="eastAsia" w:ascii="仿宋_GB2312" w:hAnsi="仿宋_GB2312" w:cs="仿宋_GB2312"/>
          <w:color w:val="auto"/>
          <w:sz w:val="32"/>
          <w:szCs w:val="32"/>
          <w:highlight w:val="none"/>
        </w:rPr>
        <w:t>支出共计31.7095万元，评价得分值</w:t>
      </w:r>
      <w:r>
        <w:rPr>
          <w:rFonts w:hint="eastAsia" w:ascii="仿宋_GB2312" w:hAnsi="仿宋_GB2312" w:cs="仿宋_GB2312"/>
          <w:color w:val="auto"/>
          <w:sz w:val="32"/>
          <w:szCs w:val="32"/>
          <w:highlight w:val="none"/>
          <w:lang w:val="en-US" w:eastAsia="zh-CN"/>
        </w:rPr>
        <w:t>94.8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社区运转经费项目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社区运转经费项目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社区运转经费项目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w:t>
      </w:r>
      <w:r>
        <w:rPr>
          <w:rFonts w:hint="eastAsia" w:ascii="仿宋_GB2312" w:hAnsi="仿宋_GB2312" w:cs="仿宋_GB2312"/>
          <w:color w:val="auto"/>
          <w:sz w:val="32"/>
          <w:szCs w:val="32"/>
          <w:highlight w:val="none"/>
          <w:lang w:eastAsia="zh-CN"/>
        </w:rPr>
        <w:t>nk</w:t>
      </w:r>
      <w:r>
        <w:rPr>
          <w:rFonts w:hint="eastAsia" w:ascii="仿宋_GB2312" w:hAnsi="仿宋_GB2312" w:cs="仿宋_GB2312"/>
          <w:color w:val="auto"/>
          <w:sz w:val="32"/>
          <w:szCs w:val="32"/>
          <w:highlight w:val="none"/>
        </w:rPr>
        <w:t>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w:t>
      </w:r>
      <w:r>
        <w:rPr>
          <w:rFonts w:hint="eastAsia" w:ascii="仿宋_GB2312" w:hAnsi="仿宋_GB2312" w:cs="仿宋_GB2312"/>
          <w:color w:val="auto"/>
          <w:sz w:val="32"/>
          <w:szCs w:val="32"/>
          <w:highlight w:val="none"/>
          <w:lang w:eastAsia="zh-CN"/>
        </w:rPr>
        <w:t>wjwg</w:t>
      </w:r>
      <w:r>
        <w:rPr>
          <w:rFonts w:hint="eastAsia" w:ascii="仿宋_GB2312" w:hAnsi="仿宋_GB2312" w:cs="仿宋_GB2312"/>
          <w:color w:val="auto"/>
          <w:sz w:val="32"/>
          <w:szCs w:val="32"/>
          <w:highlight w:val="none"/>
        </w:rPr>
        <w:t>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社区运转经费项目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w:t>
      </w:r>
      <w:r>
        <w:rPr>
          <w:rFonts w:hint="eastAsia" w:ascii="仿宋_GB2312" w:hAnsi="仿宋_GB2312" w:cs="仿宋_GB2312"/>
          <w:color w:val="auto"/>
          <w:sz w:val="32"/>
          <w:szCs w:val="32"/>
          <w:highlight w:val="none"/>
          <w:lang w:eastAsia="zh-CN"/>
        </w:rPr>
        <w:t>zf</w:t>
      </w:r>
      <w:r>
        <w:rPr>
          <w:rFonts w:hint="eastAsia" w:ascii="仿宋_GB2312" w:hAnsi="仿宋_GB2312" w:cs="仿宋_GB2312"/>
          <w:color w:val="auto"/>
          <w:sz w:val="32"/>
          <w:szCs w:val="32"/>
          <w:highlight w:val="none"/>
        </w:rPr>
        <w:t>宣讲活动次数，预期指标值是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数量指标为开展群众文化活动场次，预期指标值是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12场次，实际完成值是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12场次，指标达到预期目标。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数量指标为印刷宣传资料数量，预期指标值是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6批次，实际完成值是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6批次，指标达到预期目标。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数量指标为采购办公家具数量，预期指标值是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数量指标为</w:t>
      </w:r>
      <w:r>
        <w:rPr>
          <w:rFonts w:hint="eastAsia" w:ascii="仿宋_GB2312" w:hAnsi="仿宋_GB2312" w:cs="仿宋_GB2312"/>
          <w:color w:val="auto"/>
          <w:sz w:val="32"/>
          <w:szCs w:val="32"/>
          <w:highlight w:val="none"/>
        </w:rPr>
        <w:t>维护信息化平台数量，预期指标值是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3个，指标达到预期目标。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质量指标为各类活动举办成功率，预期指标值是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成本指标为社区运转业务经费，预期指标值是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28万元，实际完成值是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26.478万元，指标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成本指标为基本建设成本，预期指标值是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4.7815万元，指标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成本指标为采购办公家具成本，预期指标值是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0.45万元，指标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成本指标为信息化建设成本，预期指标值是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指标为做好服务群众工作，提高工作效率，预期指标值有效提升，实际完成值有效保障，指标达到预期目标。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45</w:t>
      </w:r>
      <w:r>
        <w:rPr>
          <w:rFonts w:hint="eastAsia"/>
          <w:color w:val="auto"/>
          <w:sz w:val="32"/>
          <w:highlight w:val="none"/>
        </w:rPr>
        <w:t>万元，执行数31.7095万元，执行率</w:t>
      </w:r>
      <w:r>
        <w:rPr>
          <w:rFonts w:hint="eastAsia"/>
          <w:color w:val="auto"/>
          <w:sz w:val="32"/>
          <w:highlight w:val="none"/>
          <w:lang w:val="en-US" w:eastAsia="zh-CN"/>
        </w:rPr>
        <w:t>70.5</w:t>
      </w:r>
      <w:r>
        <w:rPr>
          <w:rFonts w:hint="eastAsia"/>
          <w:color w:val="auto"/>
          <w:sz w:val="32"/>
          <w:highlight w:val="none"/>
        </w:rPr>
        <w:t>%，绩效指标完成率</w:t>
      </w:r>
      <w:r>
        <w:rPr>
          <w:rFonts w:hint="eastAsia"/>
          <w:color w:val="auto"/>
          <w:sz w:val="32"/>
          <w:highlight w:val="none"/>
          <w:lang w:val="en-US" w:eastAsia="zh-CN"/>
        </w:rPr>
        <w:t>83.7</w:t>
      </w:r>
      <w:r>
        <w:rPr>
          <w:rFonts w:hint="eastAsia"/>
          <w:color w:val="auto"/>
          <w:sz w:val="32"/>
          <w:highlight w:val="none"/>
        </w:rPr>
        <w:t>%，偏差率</w:t>
      </w:r>
      <w:r>
        <w:rPr>
          <w:rFonts w:hint="eastAsia"/>
          <w:color w:val="auto"/>
          <w:sz w:val="32"/>
          <w:highlight w:val="none"/>
          <w:lang w:val="en-US" w:eastAsia="zh-CN"/>
        </w:rPr>
        <w:t>13.2</w:t>
      </w:r>
      <w:r>
        <w:rPr>
          <w:rFonts w:hint="eastAsia"/>
          <w:color w:val="auto"/>
          <w:sz w:val="32"/>
          <w:highlight w:val="none"/>
        </w:rPr>
        <w:t>%。偏差原因：项目部分支出资料及手续不完整，导致指标未能完成。</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94.8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2"/>
      <w:numFmt w:val="decimal"/>
      <w:suff w:val="nothing"/>
      <w:lvlText w:val="%1．"/>
      <w:lvlJc w:val="left"/>
      <w:rPr>
        <w:rFonts w:hint="default"/>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6EE2BC2"/>
    <w:rsid w:val="44F5315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qFormat/>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Other|1"/>
    <w:basedOn w:val="1"/>
    <w:qFormat/>
    <w:uiPriority w:val="0"/>
    <w:pPr>
      <w:spacing w:line="420" w:lineRule="auto"/>
      <w:ind w:firstLine="400"/>
    </w:pPr>
    <w:rPr>
      <w:rFonts w:ascii="宋体" w:hAnsi="宋体" w:eastAsia="宋体" w:cs="宋体"/>
      <w:szCs w:val="3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3B44C882480F43FB82FCE082978EA954_13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d019d-fb56-4f09-afa9-af9b809982f1}">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8</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2025-09-18T10:45:26Z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3B44C882480F43FB82FCE082978EA954_13</vt:lpwstr>
  </property>
  <property fmtid="{D5CDD505-2E9C-101B-9397-08002B2CF9AE}" pid="4" name="KSOTemplateDocerSaveRecord">
    <vt:lpwstr>eyJoZGlkIjoiYzZkNzQ4ZWFiZmQ4NTRhOWRkZTk3YTMwMjlmMmZhYmUiLCJ1c2VySWQiOiI1NzgxMjU4NDIifQ_x003D__x003D_</vt:lpwstr>
  </property>
</Properties>
</file>