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阿图什市松他克镇健康服务站2024年度，实有人数31人，其中：在职人员21人，增加0人；离休人员0人，增加0人；退休人员10人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阿图什市松他克镇健康服务站无下属预算单位，下设1个科室，分别是：办公室。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2024年度收入总计350.29万元，</w:t>
      </w:r>
      <w:r>
        <w:rPr>
          <w:rFonts w:ascii="仿宋_GB2312" w:hAnsi="仿宋_GB2312" w:eastAsia="仿宋_GB2312"/>
          <w:b w:val="0"/>
          <w:sz w:val="32"/>
        </w:rPr>
        <w:t>其中：本年收入合计350.29万元，使用非财政拨款结余（含专用结余）0.00万元，年初结转和结余0.00万元。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2024年度支出总计350.29万元，</w:t>
      </w:r>
      <w:r>
        <w:rPr>
          <w:rFonts w:ascii="仿宋_GB2312" w:hAnsi="仿宋_GB2312" w:eastAsia="仿宋_GB2312"/>
          <w:b w:val="0"/>
          <w:sz w:val="32"/>
        </w:rPr>
        <w:t>其中：本年支出合计350.29万元，结余分配0.00万元，年末结转和结余0.00万元。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收入支出总体与上年相比，增加13.55万元，增长4.02%，主要原因是：本年在职人员工资调增，社保、公积金基数调增，人员经费增加。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本年收入350.29万元，</w:t>
      </w:r>
      <w:r>
        <w:rPr>
          <w:rFonts w:ascii="仿宋_GB2312" w:hAnsi="仿宋_GB2312" w:eastAsia="仿宋_GB2312"/>
          <w:b w:val="0"/>
          <w:sz w:val="32"/>
        </w:rPr>
        <w:t>其中：财政拨款收入350.29万元，占100.00%；上级补助收入0.00万元，占0.00%；事业收入0.00万元，占0.00%；经营收入0.00万元，占0.00%；附属单位上缴收入0.00万元，占0.00%；其他收入0.00万元，占0.00%。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本年支出350.29万元，</w:t>
      </w:r>
      <w:r>
        <w:rPr>
          <w:rFonts w:ascii="仿宋_GB2312" w:hAnsi="仿宋_GB2312" w:eastAsia="仿宋_GB2312"/>
          <w:b w:val="0"/>
          <w:sz w:val="32"/>
        </w:rPr>
        <w:t>其中：基本支出350.29万元，占100.00%；项目支出0.00万元，占0.00%；上缴上级支出0.00万元，占0.00%；经营支出0.00万元，占0.00%；对附属单位补助支出0.00万元，占0.00%。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2024年度财政拨款收入总计350.29万元，</w:t>
      </w:r>
      <w:r>
        <w:rPr>
          <w:rFonts w:ascii="仿宋_GB2312" w:hAnsi="仿宋_GB2312" w:eastAsia="仿宋_GB2312"/>
          <w:b w:val="0"/>
          <w:sz w:val="32"/>
        </w:rPr>
        <w:t>其中：年初财政拨款结转和结余0.00万元，本年财政拨款收入350.29万元。</w:t>
      </w:r>
      <w:r>
        <w:rPr>
          <w:rFonts w:ascii="仿宋_GB2312" w:hAnsi="仿宋_GB2312" w:eastAsia="仿宋_GB2312"/>
          <w:b/>
          <w:sz w:val="32"/>
        </w:rPr>
        <w:t>财政拨款支出总计350.29万元，</w:t>
      </w:r>
      <w:r>
        <w:rPr>
          <w:rFonts w:ascii="仿宋_GB2312" w:hAnsi="仿宋_GB2312" w:eastAsia="仿宋_GB2312"/>
          <w:b w:val="0"/>
          <w:sz w:val="32"/>
        </w:rPr>
        <w:t>其中：年末财政拨款结转和结余0.00万元，本年财政拨款支出350.29万元。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增加13.55万元，增长4.02%，主要原因是：本年在职人员工资调增，社保、公积金基数调增，人员经费增加。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年初预算数355.28万元，决算数350.29万元，预决算差异率-1.40%，主要原因是：严格落实中央八项规定精神，厉行节约，减少不必要的开支。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2024年度一般公共预算财政拨款支出350.29万元，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增加13.55万元，增长4.02%，主要原因是：本年在职人员工资调增，社保、公积金基数调增，人员经费增加。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年初预算数355.28万元，决算数350.29万元，预决算差异率-1.40%，主要原因是：严格落实中央八项规定精神，厉行节约，减少不必要的开支。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1.社会保障和就业支出(类)43.77万元</w:t>
      </w:r>
      <w:r>
        <w:rPr>
          <w:rFonts w:hint="eastAsia" w:ascii="仿宋_GB2312" w:hAnsi="仿宋_GB2312" w:eastAsia="仿宋_GB2312"/>
          <w:b w:val="0"/>
          <w:sz w:val="32"/>
          <w:lang w:eastAsia="zh-CN"/>
        </w:rPr>
        <w:t>，</w:t>
      </w:r>
      <w:r>
        <w:rPr>
          <w:rFonts w:ascii="仿宋_GB2312" w:hAnsi="仿宋_GB2312" w:eastAsia="仿宋_GB2312"/>
          <w:b w:val="0"/>
          <w:sz w:val="32"/>
        </w:rPr>
        <w:t>占12.50%。</w:t>
      </w:r>
    </w:p>
    <w:p>
      <w:pPr>
        <w:spacing w:line="580" w:lineRule="exact"/>
        <w:ind w:firstLine="640"/>
        <w:jc w:val="both"/>
      </w:pPr>
      <w:r>
        <w:rPr>
          <w:rFonts w:ascii="仿宋_GB2312" w:hAnsi="仿宋_GB2312" w:eastAsia="仿宋_GB2312"/>
          <w:b w:val="0"/>
          <w:sz w:val="32"/>
        </w:rPr>
        <w:t>2.卫生健康支出(类)279.20万元</w:t>
      </w:r>
      <w:r>
        <w:rPr>
          <w:rFonts w:hint="eastAsia" w:ascii="仿宋_GB2312" w:hAnsi="仿宋_GB2312" w:eastAsia="仿宋_GB2312"/>
          <w:b w:val="0"/>
          <w:sz w:val="32"/>
          <w:lang w:eastAsia="zh-CN"/>
        </w:rPr>
        <w:t>，</w:t>
      </w:r>
      <w:r>
        <w:rPr>
          <w:rFonts w:ascii="仿宋_GB2312" w:hAnsi="仿宋_GB2312" w:eastAsia="仿宋_GB2312"/>
          <w:b w:val="0"/>
          <w:sz w:val="32"/>
        </w:rPr>
        <w:t>占79.71%。</w:t>
      </w:r>
    </w:p>
    <w:p>
      <w:pPr>
        <w:spacing w:line="580" w:lineRule="exact"/>
        <w:ind w:firstLine="640"/>
        <w:jc w:val="both"/>
      </w:pPr>
      <w:r>
        <w:rPr>
          <w:rFonts w:ascii="仿宋_GB2312" w:hAnsi="仿宋_GB2312" w:eastAsia="仿宋_GB2312"/>
          <w:b w:val="0"/>
          <w:sz w:val="32"/>
        </w:rPr>
        <w:t>3.住房保障支出(类)27.31万元</w:t>
      </w:r>
      <w:r>
        <w:rPr>
          <w:rFonts w:hint="eastAsia" w:ascii="仿宋_GB2312" w:hAnsi="仿宋_GB2312" w:eastAsia="仿宋_GB2312"/>
          <w:b w:val="0"/>
          <w:sz w:val="32"/>
          <w:lang w:eastAsia="zh-CN"/>
        </w:rPr>
        <w:t>，</w:t>
      </w:r>
      <w:r>
        <w:rPr>
          <w:rFonts w:ascii="仿宋_GB2312" w:hAnsi="仿宋_GB2312" w:eastAsia="仿宋_GB2312"/>
          <w:b w:val="0"/>
          <w:sz w:val="32"/>
        </w:rPr>
        <w:t>占7.80%。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支出决算数为10.68万元，比上年决算增加1.63万元，增长18.01%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支出决算数为33.10万元，比上年决算增加3.32万元，增长11.15%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hint="eastAsia" w:ascii="仿宋_GB2312" w:hAnsi="仿宋_GB2312" w:eastAsia="仿宋_GB2312"/>
          <w:b w:val="0"/>
          <w:sz w:val="32"/>
          <w:lang w:val="en-US" w:eastAsia="zh-CN"/>
        </w:rPr>
        <w:t>3</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支出决算数为10.17万元，比上年决算减少1.19万元，下降10.48%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本年在职人员调入调出，人员职级不同，缴费基数不同</w:t>
      </w:r>
      <w:r>
        <w:rPr>
          <w:rFonts w:ascii="仿宋_GB2312" w:hAnsi="仿宋_GB2312" w:eastAsia="仿宋_GB2312"/>
          <w:b w:val="0"/>
          <w:sz w:val="32"/>
        </w:rPr>
        <w:t>，导致经费较上年减少。</w:t>
      </w:r>
    </w:p>
    <w:p>
      <w:pPr>
        <w:spacing w:line="580" w:lineRule="exact"/>
        <w:ind w:firstLine="640"/>
        <w:jc w:val="both"/>
      </w:pPr>
      <w:r>
        <w:rPr>
          <w:rFonts w:hint="eastAsia" w:ascii="仿宋_GB2312" w:hAnsi="仿宋_GB2312" w:eastAsia="仿宋_GB2312"/>
          <w:b w:val="0"/>
          <w:sz w:val="32"/>
          <w:lang w:val="en-US" w:eastAsia="zh-CN"/>
        </w:rPr>
        <w:t>4</w:t>
      </w:r>
      <w:bookmarkStart w:id="0" w:name="_GoBack"/>
      <w:bookmarkEnd w:id="0"/>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支出决算数为27.31万元，比上年决算增加1.70万元，增长6.64%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2024年度一般公共预算财政拨款基本支出350.29万元，其中：</w:t>
      </w:r>
      <w:r>
        <w:rPr>
          <w:rFonts w:ascii="仿宋_GB2312" w:hAnsi="仿宋_GB2312" w:eastAsia="仿宋_GB2312"/>
          <w:b/>
          <w:sz w:val="32"/>
        </w:rPr>
        <w:t>人员经费348.49万元，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包括：办公费、电费、邮电费。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2024年度阿图什市松他克镇健康服务站（事业单位）公用经费支出1.80万元，比上年增加0.00万元，增长0.00%，主要原因是：本年公用经费与上年一致，无差异。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BD4672"/>
    <w:rsid w:val="2C1965E9"/>
    <w:rsid w:val="2D1136DF"/>
    <w:rsid w:val="2DAE0E44"/>
    <w:rsid w:val="2FD27414"/>
    <w:rsid w:val="313F1D52"/>
    <w:rsid w:val="318029AB"/>
    <w:rsid w:val="31C63837"/>
    <w:rsid w:val="326F0A17"/>
    <w:rsid w:val="3277581B"/>
    <w:rsid w:val="38006E2C"/>
    <w:rsid w:val="3914510A"/>
    <w:rsid w:val="3B1220C9"/>
    <w:rsid w:val="3D5275AC"/>
    <w:rsid w:val="3DA316C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AE31B0"/>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090ADB"/>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4794</Words>
  <Characters>5370</Characters>
  <Lines>0</Lines>
  <Paragraphs>0</Paragraphs>
  <TotalTime>5</TotalTime>
  <ScaleCrop>false</ScaleCrop>
  <LinksUpToDate>false</LinksUpToDate>
  <CharactersWithSpaces>5380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