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阿图什市松他克镇健康服务站2024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1DCF0F7">
      <w:r>
        <w:br w:type="page"/>
      </w:r>
    </w:p>
    <w:p w14:paraId="3772E02D">
      <w:pPr>
        <w:spacing w:line="640" w:lineRule="exact"/>
        <w:jc w:val="center"/>
        <w:outlineLvl w:val="1"/>
      </w:pPr>
      <w:r>
        <w:rPr>
          <w:rFonts w:ascii="黑体" w:hAnsi="黑体" w:eastAsia="黑体"/>
          <w:sz w:val="32"/>
        </w:rPr>
        <w:t>第一部分 单位概况</w:t>
      </w:r>
    </w:p>
    <w:p w14:paraId="5EB63292">
      <w:pPr>
        <w:spacing w:line="640" w:lineRule="exact"/>
        <w:ind w:firstLine="640"/>
        <w:jc w:val="both"/>
        <w:outlineLvl w:val="2"/>
      </w:pPr>
      <w:r>
        <w:rPr>
          <w:rFonts w:ascii="黑体" w:hAnsi="黑体" w:eastAsia="黑体"/>
          <w:sz w:val="32"/>
        </w:rPr>
        <w:t>一、主要职能</w:t>
      </w:r>
    </w:p>
    <w:p w14:paraId="275BDA62">
      <w:pPr>
        <w:spacing w:line="580" w:lineRule="exact"/>
        <w:ind w:firstLine="640"/>
        <w:jc w:val="both"/>
      </w:pPr>
      <w:r>
        <w:rPr>
          <w:rFonts w:ascii="仿宋_GB2312" w:hAnsi="仿宋_GB2312" w:eastAsia="仿宋_GB2312"/>
          <w:sz w:val="32"/>
        </w:rPr>
        <w:t>认真贯彻执行政策法规，完成上级下达的各项任务。向群众宣传政策、法规、健康等知识、帮助群众树立文明、科学、进步的观念，保证宣传资料发放到每家每户，按规定真实、准确、无误地做好各类数据的统计。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14:paraId="00C529A5">
      <w:pPr>
        <w:spacing w:line="640" w:lineRule="exact"/>
        <w:ind w:firstLine="640"/>
        <w:jc w:val="both"/>
        <w:outlineLvl w:val="2"/>
      </w:pPr>
      <w:r>
        <w:rPr>
          <w:rFonts w:ascii="黑体" w:hAnsi="黑体" w:eastAsia="黑体"/>
          <w:sz w:val="32"/>
        </w:rPr>
        <w:t>二、机构设置及人员情况</w:t>
      </w:r>
    </w:p>
    <w:p w14:paraId="4A1E1685">
      <w:pPr>
        <w:spacing w:line="580" w:lineRule="exact"/>
        <w:ind w:firstLine="640"/>
        <w:jc w:val="both"/>
      </w:pPr>
      <w:r>
        <w:rPr>
          <w:rFonts w:ascii="仿宋_GB2312" w:hAnsi="仿宋_GB2312" w:eastAsia="仿宋_GB2312"/>
          <w:sz w:val="32"/>
        </w:rPr>
        <w:t>阿图什市松他克镇健康服务站2024年度，实有人数31人，其中：在职人员21人，增加0人；离休人员0人，增加0人；退休人员10人</w:t>
      </w:r>
      <w:r>
        <w:rPr>
          <w:rFonts w:hint="eastAsia" w:ascii="仿宋_GB2312" w:hAnsi="仿宋_GB2312" w:eastAsia="仿宋_GB2312"/>
          <w:sz w:val="32"/>
          <w:lang w:eastAsia="zh-CN"/>
        </w:rPr>
        <w:t>，</w:t>
      </w:r>
      <w:r>
        <w:rPr>
          <w:rFonts w:ascii="仿宋_GB2312" w:hAnsi="仿宋_GB2312" w:eastAsia="仿宋_GB2312"/>
          <w:sz w:val="32"/>
        </w:rPr>
        <w:t>增加0人。</w:t>
      </w:r>
    </w:p>
    <w:p w14:paraId="17561C79">
      <w:pPr>
        <w:spacing w:line="580" w:lineRule="exact"/>
        <w:ind w:firstLine="640"/>
        <w:jc w:val="both"/>
      </w:pPr>
      <w:r>
        <w:rPr>
          <w:rFonts w:ascii="仿宋_GB2312" w:hAnsi="仿宋_GB2312" w:eastAsia="仿宋_GB2312"/>
          <w:sz w:val="32"/>
        </w:rPr>
        <w:t>阿图什市松他克镇健康服务站无下属预算单位，下设1个科室，分别是：办公室。</w:t>
      </w:r>
    </w:p>
    <w:p w14:paraId="1993B9C5">
      <w:r>
        <w:br w:type="page"/>
      </w:r>
    </w:p>
    <w:p w14:paraId="3D500B84">
      <w:pPr>
        <w:spacing w:line="240" w:lineRule="auto"/>
        <w:jc w:val="center"/>
        <w:outlineLvl w:val="1"/>
      </w:pPr>
      <w:r>
        <w:rPr>
          <w:rFonts w:ascii="黑体" w:hAnsi="黑体" w:eastAsia="黑体"/>
          <w:sz w:val="32"/>
        </w:rPr>
        <w:t>第二部分 部门决算情况说明</w:t>
      </w:r>
    </w:p>
    <w:p w14:paraId="3C09D1D6">
      <w:pPr>
        <w:spacing w:line="640" w:lineRule="exact"/>
        <w:ind w:firstLine="640"/>
        <w:jc w:val="both"/>
        <w:outlineLvl w:val="2"/>
      </w:pPr>
      <w:r>
        <w:rPr>
          <w:rFonts w:ascii="黑体" w:hAnsi="黑体" w:eastAsia="黑体"/>
          <w:sz w:val="32"/>
        </w:rPr>
        <w:t>一、收入支出决算总体情况说明</w:t>
      </w:r>
    </w:p>
    <w:p w14:paraId="2F575C28">
      <w:pPr>
        <w:spacing w:line="580" w:lineRule="exact"/>
        <w:ind w:firstLine="640"/>
        <w:jc w:val="both"/>
      </w:pPr>
      <w:r>
        <w:rPr>
          <w:rFonts w:ascii="仿宋_GB2312" w:hAnsi="仿宋_GB2312" w:eastAsia="仿宋_GB2312"/>
          <w:b/>
          <w:sz w:val="32"/>
        </w:rPr>
        <w:t>2024年度收入总计350.29万元，</w:t>
      </w:r>
      <w:r>
        <w:rPr>
          <w:rFonts w:ascii="仿宋_GB2312" w:hAnsi="仿宋_GB2312" w:eastAsia="仿宋_GB2312"/>
          <w:b w:val="0"/>
          <w:sz w:val="32"/>
        </w:rPr>
        <w:t>其中：本年收入合计350.29万元，使用非财政拨款结余（含专用结余）0.00万元，年初结转和结余0.00万元。</w:t>
      </w:r>
    </w:p>
    <w:p w14:paraId="6E9FABC1">
      <w:pPr>
        <w:spacing w:line="580" w:lineRule="exact"/>
        <w:ind w:firstLine="640"/>
        <w:jc w:val="both"/>
      </w:pPr>
      <w:r>
        <w:rPr>
          <w:rFonts w:ascii="仿宋_GB2312" w:hAnsi="仿宋_GB2312" w:eastAsia="仿宋_GB2312"/>
          <w:b/>
          <w:sz w:val="32"/>
        </w:rPr>
        <w:t>2024年度支出总计350.29万元，</w:t>
      </w:r>
      <w:r>
        <w:rPr>
          <w:rFonts w:ascii="仿宋_GB2312" w:hAnsi="仿宋_GB2312" w:eastAsia="仿宋_GB2312"/>
          <w:b w:val="0"/>
          <w:sz w:val="32"/>
        </w:rPr>
        <w:t>其中：本年支出合计350.29万元，结余分配0.00万元，年末结转和结余0.00万元。</w:t>
      </w:r>
    </w:p>
    <w:p w14:paraId="18D16CBB">
      <w:pPr>
        <w:spacing w:line="580" w:lineRule="exact"/>
        <w:ind w:firstLine="640"/>
        <w:jc w:val="both"/>
      </w:pPr>
      <w:r>
        <w:rPr>
          <w:rFonts w:ascii="仿宋_GB2312" w:hAnsi="仿宋_GB2312" w:eastAsia="仿宋_GB2312"/>
          <w:b w:val="0"/>
          <w:sz w:val="32"/>
        </w:rPr>
        <w:t>收入支出总体与上年相比，增加13.55万元，增长4.02%，主要原因是：本年在职人员工资调增，社保、公积金基数调增，人员经费增加。</w:t>
      </w:r>
    </w:p>
    <w:p w14:paraId="5F6CBA8F">
      <w:pPr>
        <w:spacing w:line="640" w:lineRule="exact"/>
        <w:ind w:firstLine="640"/>
        <w:jc w:val="both"/>
        <w:outlineLvl w:val="2"/>
      </w:pPr>
      <w:r>
        <w:rPr>
          <w:rFonts w:ascii="黑体" w:hAnsi="黑体" w:eastAsia="黑体"/>
          <w:sz w:val="32"/>
        </w:rPr>
        <w:t>二、收入决算情况说明</w:t>
      </w:r>
    </w:p>
    <w:p w14:paraId="1A3E9A9F">
      <w:pPr>
        <w:spacing w:line="580" w:lineRule="exact"/>
        <w:ind w:firstLine="640"/>
        <w:jc w:val="both"/>
      </w:pPr>
      <w:r>
        <w:rPr>
          <w:rFonts w:ascii="仿宋_GB2312" w:hAnsi="仿宋_GB2312" w:eastAsia="仿宋_GB2312"/>
          <w:b/>
          <w:sz w:val="32"/>
        </w:rPr>
        <w:t>本年收入350.29万元，</w:t>
      </w:r>
      <w:r>
        <w:rPr>
          <w:rFonts w:ascii="仿宋_GB2312" w:hAnsi="仿宋_GB2312" w:eastAsia="仿宋_GB2312"/>
          <w:b w:val="0"/>
          <w:sz w:val="32"/>
        </w:rPr>
        <w:t>其中：财政拨款收入350.29万元，占100.00%；上级补助收入0.00万元，占0.00%；事业收入0.00万元，占0.00%；经营收入0.00万元，占0.00%；附属单位上缴收入0.00万元，占0.00%；其他收入0.00万元，占0.00%。</w:t>
      </w:r>
    </w:p>
    <w:p w14:paraId="6D75EE5E">
      <w:pPr>
        <w:spacing w:line="640" w:lineRule="exact"/>
        <w:ind w:firstLine="640"/>
        <w:jc w:val="both"/>
        <w:outlineLvl w:val="2"/>
      </w:pPr>
      <w:r>
        <w:rPr>
          <w:rFonts w:ascii="黑体" w:hAnsi="黑体" w:eastAsia="黑体"/>
          <w:sz w:val="32"/>
        </w:rPr>
        <w:t>三、支出决算情况说明</w:t>
      </w:r>
    </w:p>
    <w:p w14:paraId="109FB47E">
      <w:pPr>
        <w:spacing w:line="580" w:lineRule="exact"/>
        <w:ind w:firstLine="640"/>
        <w:jc w:val="both"/>
      </w:pPr>
      <w:r>
        <w:rPr>
          <w:rFonts w:ascii="仿宋_GB2312" w:hAnsi="仿宋_GB2312" w:eastAsia="仿宋_GB2312"/>
          <w:b/>
          <w:sz w:val="32"/>
        </w:rPr>
        <w:t>本年支出350.29万元，</w:t>
      </w:r>
      <w:r>
        <w:rPr>
          <w:rFonts w:ascii="仿宋_GB2312" w:hAnsi="仿宋_GB2312" w:eastAsia="仿宋_GB2312"/>
          <w:b w:val="0"/>
          <w:sz w:val="32"/>
        </w:rPr>
        <w:t>其中：基本支出350.29万元，占100.00%；项目支出0.00万元，占0.00%；上缴上级支出0.00万元，占0.00%；经营支出0.00万元，占0.00%；对附属单位补助支出0.00万元，占0.00%。</w:t>
      </w:r>
    </w:p>
    <w:p w14:paraId="0B7C835D">
      <w:pPr>
        <w:spacing w:line="640" w:lineRule="exact"/>
        <w:ind w:firstLine="640"/>
        <w:jc w:val="both"/>
        <w:outlineLvl w:val="2"/>
      </w:pPr>
      <w:r>
        <w:rPr>
          <w:rFonts w:ascii="黑体" w:hAnsi="黑体" w:eastAsia="黑体"/>
          <w:sz w:val="32"/>
        </w:rPr>
        <w:t>四、财政拨款收入支出决算总体情况说明</w:t>
      </w:r>
    </w:p>
    <w:p w14:paraId="5A07DBBE">
      <w:pPr>
        <w:spacing w:line="580" w:lineRule="exact"/>
        <w:ind w:firstLine="640"/>
        <w:jc w:val="both"/>
      </w:pPr>
      <w:r>
        <w:rPr>
          <w:rFonts w:ascii="仿宋_GB2312" w:hAnsi="仿宋_GB2312" w:eastAsia="仿宋_GB2312"/>
          <w:b/>
          <w:sz w:val="32"/>
        </w:rPr>
        <w:t>2024年度财政拨款收入总计350.29万元，</w:t>
      </w:r>
      <w:r>
        <w:rPr>
          <w:rFonts w:ascii="仿宋_GB2312" w:hAnsi="仿宋_GB2312" w:eastAsia="仿宋_GB2312"/>
          <w:b w:val="0"/>
          <w:sz w:val="32"/>
        </w:rPr>
        <w:t>其中：年初财政拨款结转和结余0.00万元，本年财政拨款收入350.29万元。</w:t>
      </w:r>
      <w:r>
        <w:rPr>
          <w:rFonts w:ascii="仿宋_GB2312" w:hAnsi="仿宋_GB2312" w:eastAsia="仿宋_GB2312"/>
          <w:b/>
          <w:sz w:val="32"/>
        </w:rPr>
        <w:t>财政拨款支出总计350.29万元，</w:t>
      </w:r>
      <w:r>
        <w:rPr>
          <w:rFonts w:ascii="仿宋_GB2312" w:hAnsi="仿宋_GB2312" w:eastAsia="仿宋_GB2312"/>
          <w:b w:val="0"/>
          <w:sz w:val="32"/>
        </w:rPr>
        <w:t>其中：年末财政拨款结转和结余0.00万元，本年财政拨款支出350.29万元。</w:t>
      </w:r>
    </w:p>
    <w:p w14:paraId="692758A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增加13.55万元，增长4.02%，主要原因是：本年在职人员工资调增，社保、公积金基数调增，人员经费增加。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年初预算数355.28万元，决算数350.29万元，预决算差异率-1.40%，主要原因是：严格落实中央八项规定精神，厉行节约，减少不必要的开支。</w:t>
      </w:r>
    </w:p>
    <w:p w14:paraId="488ABF46">
      <w:pPr>
        <w:spacing w:line="640" w:lineRule="exact"/>
        <w:ind w:firstLine="640"/>
        <w:jc w:val="both"/>
        <w:outlineLvl w:val="2"/>
      </w:pPr>
      <w:r>
        <w:rPr>
          <w:rFonts w:ascii="黑体" w:hAnsi="黑体" w:eastAsia="黑体"/>
          <w:sz w:val="32"/>
        </w:rPr>
        <w:t>五、一般公共预算财政拨款支出决算情况说明</w:t>
      </w:r>
    </w:p>
    <w:p w14:paraId="6341805C">
      <w:pPr>
        <w:spacing w:line="640" w:lineRule="exact"/>
        <w:ind w:firstLine="640"/>
        <w:jc w:val="both"/>
        <w:outlineLvl w:val="3"/>
      </w:pPr>
      <w:r>
        <w:rPr>
          <w:rFonts w:ascii="楷体_GB2312" w:hAnsi="楷体_GB2312" w:eastAsia="楷体_GB2312"/>
          <w:b/>
          <w:sz w:val="32"/>
        </w:rPr>
        <w:t>（一）一般公共预算财政拨款支出决算总体情况</w:t>
      </w:r>
    </w:p>
    <w:p w14:paraId="27206F3E">
      <w:pPr>
        <w:spacing w:line="580" w:lineRule="exact"/>
        <w:ind w:firstLine="640"/>
        <w:jc w:val="both"/>
      </w:pPr>
      <w:r>
        <w:rPr>
          <w:rFonts w:ascii="仿宋_GB2312" w:hAnsi="仿宋_GB2312" w:eastAsia="仿宋_GB2312"/>
          <w:b/>
          <w:sz w:val="32"/>
        </w:rPr>
        <w:t>2024年度一般公共预算财政拨款支出350.29万元，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增加13.55万元，增长4.02%，主要原因是：本年在职人员工资调增，社保、公积金基数调增，人员经费增加。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年初预算数355.28万元，决算数350.29万元，预决算差异率-1.40%，主要原因是：严格落实中央八项规定精神，厉行节约，减少不必要的开支。</w:t>
      </w:r>
    </w:p>
    <w:p w14:paraId="528B61E0">
      <w:pPr>
        <w:spacing w:line="640" w:lineRule="exact"/>
        <w:ind w:firstLine="640"/>
        <w:jc w:val="both"/>
        <w:outlineLvl w:val="3"/>
      </w:pPr>
      <w:r>
        <w:rPr>
          <w:rFonts w:ascii="楷体_GB2312" w:hAnsi="楷体_GB2312" w:eastAsia="楷体_GB2312"/>
          <w:b/>
          <w:sz w:val="32"/>
        </w:rPr>
        <w:t>（二）一般公共预算财政拨款支出决算结构情况</w:t>
      </w:r>
    </w:p>
    <w:p w14:paraId="7B5B655B">
      <w:pPr>
        <w:spacing w:line="580" w:lineRule="exact"/>
        <w:ind w:firstLine="640"/>
        <w:jc w:val="both"/>
      </w:pPr>
      <w:r>
        <w:rPr>
          <w:rFonts w:ascii="仿宋_GB2312" w:hAnsi="仿宋_GB2312" w:eastAsia="仿宋_GB2312"/>
          <w:b w:val="0"/>
          <w:sz w:val="32"/>
        </w:rPr>
        <w:t>1.社会保障和就业支出(类)43.77万元</w:t>
      </w:r>
      <w:r>
        <w:rPr>
          <w:rFonts w:hint="eastAsia" w:ascii="仿宋_GB2312" w:hAnsi="仿宋_GB2312" w:eastAsia="仿宋_GB2312"/>
          <w:b w:val="0"/>
          <w:sz w:val="32"/>
          <w:lang w:eastAsia="zh-CN"/>
        </w:rPr>
        <w:t>，</w:t>
      </w:r>
      <w:r>
        <w:rPr>
          <w:rFonts w:ascii="仿宋_GB2312" w:hAnsi="仿宋_GB2312" w:eastAsia="仿宋_GB2312"/>
          <w:b w:val="0"/>
          <w:sz w:val="32"/>
        </w:rPr>
        <w:t>占12.50%。</w:t>
      </w:r>
    </w:p>
    <w:p w14:paraId="3467DFB4">
      <w:pPr>
        <w:spacing w:line="580" w:lineRule="exact"/>
        <w:ind w:firstLine="640"/>
        <w:jc w:val="both"/>
      </w:pPr>
      <w:r>
        <w:rPr>
          <w:rFonts w:ascii="仿宋_GB2312" w:hAnsi="仿宋_GB2312" w:eastAsia="仿宋_GB2312"/>
          <w:b w:val="0"/>
          <w:sz w:val="32"/>
        </w:rPr>
        <w:t>2.卫生健康支出(类)279.20万元</w:t>
      </w:r>
      <w:r>
        <w:rPr>
          <w:rFonts w:hint="eastAsia" w:ascii="仿宋_GB2312" w:hAnsi="仿宋_GB2312" w:eastAsia="仿宋_GB2312"/>
          <w:b w:val="0"/>
          <w:sz w:val="32"/>
          <w:lang w:eastAsia="zh-CN"/>
        </w:rPr>
        <w:t>，</w:t>
      </w:r>
      <w:r>
        <w:rPr>
          <w:rFonts w:ascii="仿宋_GB2312" w:hAnsi="仿宋_GB2312" w:eastAsia="仿宋_GB2312"/>
          <w:b w:val="0"/>
          <w:sz w:val="32"/>
        </w:rPr>
        <w:t>占79.71%。</w:t>
      </w:r>
    </w:p>
    <w:p w14:paraId="485B60D3">
      <w:pPr>
        <w:spacing w:line="580" w:lineRule="exact"/>
        <w:ind w:firstLine="640"/>
        <w:jc w:val="both"/>
      </w:pPr>
      <w:r>
        <w:rPr>
          <w:rFonts w:ascii="仿宋_GB2312" w:hAnsi="仿宋_GB2312" w:eastAsia="仿宋_GB2312"/>
          <w:b w:val="0"/>
          <w:sz w:val="32"/>
        </w:rPr>
        <w:t>3.住房保障支出(类)27.31万元</w:t>
      </w:r>
      <w:r>
        <w:rPr>
          <w:rFonts w:hint="eastAsia" w:ascii="仿宋_GB2312" w:hAnsi="仿宋_GB2312" w:eastAsia="仿宋_GB2312"/>
          <w:b w:val="0"/>
          <w:sz w:val="32"/>
          <w:lang w:eastAsia="zh-CN"/>
        </w:rPr>
        <w:t>，</w:t>
      </w:r>
      <w:r>
        <w:rPr>
          <w:rFonts w:ascii="仿宋_GB2312" w:hAnsi="仿宋_GB2312" w:eastAsia="仿宋_GB2312"/>
          <w:b w:val="0"/>
          <w:sz w:val="32"/>
        </w:rPr>
        <w:t>占7.80%。</w:t>
      </w:r>
    </w:p>
    <w:p w14:paraId="2C98214C">
      <w:pPr>
        <w:spacing w:line="640" w:lineRule="exact"/>
        <w:ind w:firstLine="640"/>
        <w:jc w:val="both"/>
        <w:outlineLvl w:val="3"/>
      </w:pPr>
      <w:r>
        <w:rPr>
          <w:rFonts w:ascii="楷体_GB2312" w:hAnsi="楷体_GB2312" w:eastAsia="楷体_GB2312"/>
          <w:b/>
          <w:sz w:val="32"/>
        </w:rPr>
        <w:t>（三）一般公共预算财政拨款支出决算具体情况</w:t>
      </w:r>
    </w:p>
    <w:p w14:paraId="6E705F4F">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支出决算数为10.68万元，比上年决算增加1.63万元，增长18.01%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67D6BAD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支出决算数为33.10万元，比上年决算增加3.32万元，增长11.15%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073B0F8B">
      <w:pPr>
        <w:spacing w:line="580" w:lineRule="exact"/>
        <w:ind w:firstLine="640"/>
        <w:jc w:val="both"/>
      </w:pPr>
      <w:r>
        <w:rPr>
          <w:rFonts w:ascii="仿宋_GB2312" w:hAnsi="仿宋_GB2312" w:eastAsia="仿宋_GB2312"/>
          <w:b w:val="0"/>
          <w:sz w:val="32"/>
        </w:rPr>
        <w:t>3.卫生健康支出(类)计划生育事务(款)其他计划生育事务支出(项)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支出决算数为269.04万元，比上年决算增加8.10万元，增长3.10%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主要原因是：本年在职人员工资调增，相关人员经费增加。</w:t>
      </w:r>
    </w:p>
    <w:p w14:paraId="3D381BAD">
      <w:pPr>
        <w:spacing w:line="580" w:lineRule="exact"/>
        <w:ind w:firstLine="640"/>
        <w:jc w:val="both"/>
      </w:pPr>
      <w:r>
        <w:rPr>
          <w:rFonts w:ascii="仿宋_GB2312" w:hAnsi="仿宋_GB2312" w:eastAsia="仿宋_GB2312"/>
          <w:b w:val="0"/>
          <w:sz w:val="32"/>
        </w:rPr>
        <w:t>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支出决算数为10.17万元，比上年决算减少1.19万元，下降10.48%</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本年在职人员调入调出，人员职级不同，缴费基数不同</w:t>
      </w:r>
      <w:r>
        <w:rPr>
          <w:rFonts w:ascii="仿宋_GB2312" w:hAnsi="仿宋_GB2312" w:eastAsia="仿宋_GB2312"/>
          <w:b w:val="0"/>
          <w:sz w:val="32"/>
        </w:rPr>
        <w:t>，导致经费较上年减少。</w:t>
      </w:r>
    </w:p>
    <w:p w14:paraId="399A7B29">
      <w:pPr>
        <w:spacing w:line="580" w:lineRule="exact"/>
        <w:ind w:firstLine="640"/>
        <w:jc w:val="both"/>
      </w:pPr>
      <w:r>
        <w:rPr>
          <w:rFonts w:ascii="仿宋_GB2312" w:hAnsi="仿宋_GB2312" w:eastAsia="仿宋_GB2312"/>
          <w:b w:val="0"/>
          <w:sz w:val="32"/>
        </w:rPr>
        <w:t>5.住房保障支出(类)住房改革支出(款)住房公积金(项)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支出决算数为27.31万元，比上年决算增加1.70万元，增长6.64%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3D2DDA12">
      <w:pPr>
        <w:spacing w:line="640" w:lineRule="exact"/>
        <w:ind w:firstLine="640"/>
        <w:jc w:val="both"/>
        <w:outlineLvl w:val="2"/>
      </w:pPr>
      <w:r>
        <w:rPr>
          <w:rFonts w:ascii="黑体" w:hAnsi="黑体" w:eastAsia="黑体"/>
          <w:sz w:val="32"/>
        </w:rPr>
        <w:t>六、一般公共预算财政拨款基本支出决算情况说明</w:t>
      </w:r>
    </w:p>
    <w:p w14:paraId="5429B989">
      <w:pPr>
        <w:spacing w:line="580" w:lineRule="exact"/>
        <w:ind w:firstLine="640"/>
        <w:jc w:val="both"/>
      </w:pPr>
      <w:r>
        <w:rPr>
          <w:rFonts w:ascii="仿宋_GB2312" w:hAnsi="仿宋_GB2312" w:eastAsia="仿宋_GB2312"/>
          <w:b w:val="0"/>
          <w:sz w:val="32"/>
        </w:rPr>
        <w:t>2024年度一般公共预算财政拨款基本支出350.29万元，其中：</w:t>
      </w:r>
      <w:r>
        <w:rPr>
          <w:rFonts w:ascii="仿宋_GB2312" w:hAnsi="仿宋_GB2312" w:eastAsia="仿宋_GB2312"/>
          <w:b/>
          <w:sz w:val="32"/>
        </w:rPr>
        <w:t>人员经费348.49万元，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5C9D6831">
      <w:pPr>
        <w:spacing w:line="580" w:lineRule="exact"/>
        <w:ind w:firstLine="640"/>
        <w:jc w:val="both"/>
      </w:pPr>
      <w:r>
        <w:rPr>
          <w:rFonts w:ascii="仿宋_GB2312" w:hAnsi="仿宋_GB2312" w:eastAsia="仿宋_GB2312"/>
          <w:b/>
          <w:sz w:val="32"/>
        </w:rPr>
        <w:t>公用经费1.80万元，</w:t>
      </w:r>
      <w:r>
        <w:rPr>
          <w:rFonts w:ascii="仿宋_GB2312" w:hAnsi="仿宋_GB2312" w:eastAsia="仿宋_GB2312"/>
          <w:b w:val="0"/>
          <w:sz w:val="32"/>
        </w:rPr>
        <w:t>包括：办公费、电费、邮电费。</w:t>
      </w:r>
    </w:p>
    <w:p w14:paraId="5816BDB9">
      <w:pPr>
        <w:spacing w:line="640" w:lineRule="exact"/>
        <w:ind w:firstLine="640"/>
        <w:jc w:val="both"/>
        <w:outlineLvl w:val="2"/>
      </w:pPr>
      <w:r>
        <w:rPr>
          <w:rFonts w:ascii="黑体" w:hAnsi="黑体" w:eastAsia="黑体"/>
          <w:sz w:val="32"/>
        </w:rPr>
        <w:t>七、政府性基金预算财政拨款收入支出决算情况说明</w:t>
      </w:r>
    </w:p>
    <w:p w14:paraId="158C2A8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C6E02DD">
      <w:pPr>
        <w:spacing w:line="640" w:lineRule="exact"/>
        <w:ind w:firstLine="640"/>
        <w:jc w:val="both"/>
        <w:outlineLvl w:val="2"/>
      </w:pPr>
      <w:r>
        <w:rPr>
          <w:rFonts w:ascii="黑体" w:hAnsi="黑体" w:eastAsia="黑体"/>
          <w:sz w:val="32"/>
        </w:rPr>
        <w:t>八、国有资本经营预算财政拨款收入支出决算情况说明</w:t>
      </w:r>
    </w:p>
    <w:p w14:paraId="32D0130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06DFD41">
      <w:pPr>
        <w:spacing w:line="640" w:lineRule="exact"/>
        <w:ind w:firstLine="640"/>
        <w:jc w:val="both"/>
        <w:outlineLvl w:val="2"/>
      </w:pPr>
      <w:r>
        <w:rPr>
          <w:rFonts w:ascii="黑体" w:hAnsi="黑体" w:eastAsia="黑体"/>
          <w:sz w:val="32"/>
        </w:rPr>
        <w:t>九、财政拨款“三公”经费支出决算情况说明</w:t>
      </w:r>
    </w:p>
    <w:p w14:paraId="77CBBCE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81431CB">
      <w:pPr>
        <w:spacing w:line="580" w:lineRule="exact"/>
        <w:ind w:firstLine="640"/>
        <w:jc w:val="both"/>
      </w:pPr>
      <w:r>
        <w:rPr>
          <w:rFonts w:ascii="仿宋_GB2312" w:hAnsi="仿宋_GB2312" w:eastAsia="仿宋_GB2312"/>
          <w:b/>
          <w:sz w:val="32"/>
        </w:rPr>
        <w:t>具体情况如下：</w:t>
      </w:r>
    </w:p>
    <w:p w14:paraId="4B5D96E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2D1D44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8D62CE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E78E18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573238A">
      <w:pPr>
        <w:spacing w:line="640" w:lineRule="exact"/>
        <w:ind w:firstLine="640"/>
        <w:jc w:val="both"/>
        <w:outlineLvl w:val="2"/>
      </w:pPr>
      <w:r>
        <w:rPr>
          <w:rFonts w:ascii="黑体" w:hAnsi="黑体" w:eastAsia="黑体"/>
          <w:sz w:val="32"/>
        </w:rPr>
        <w:t>十、其他重要事项的情况说明</w:t>
      </w:r>
    </w:p>
    <w:p w14:paraId="6FCB15DD">
      <w:pPr>
        <w:spacing w:line="640" w:lineRule="exact"/>
        <w:ind w:firstLine="640"/>
        <w:jc w:val="both"/>
        <w:outlineLvl w:val="3"/>
      </w:pPr>
      <w:r>
        <w:rPr>
          <w:rFonts w:ascii="楷体_GB2312" w:hAnsi="楷体_GB2312" w:eastAsia="楷体_GB2312"/>
          <w:b/>
          <w:sz w:val="32"/>
        </w:rPr>
        <w:t>（一）机关运行经费及公用经费支出情况</w:t>
      </w:r>
    </w:p>
    <w:p w14:paraId="6A609D44">
      <w:pPr>
        <w:spacing w:line="580" w:lineRule="exact"/>
        <w:ind w:firstLine="640"/>
        <w:jc w:val="both"/>
      </w:pPr>
      <w:r>
        <w:rPr>
          <w:rFonts w:ascii="仿宋_GB2312" w:hAnsi="仿宋_GB2312" w:eastAsia="仿宋_GB2312"/>
          <w:b w:val="0"/>
          <w:sz w:val="32"/>
        </w:rPr>
        <w:t>2024年度阿图什市松他克镇</w:t>
      </w:r>
      <w:bookmarkStart w:id="0" w:name="_GoBack"/>
      <w:bookmarkEnd w:id="0"/>
      <w:r>
        <w:rPr>
          <w:rFonts w:ascii="仿宋_GB2312" w:hAnsi="仿宋_GB2312" w:eastAsia="仿宋_GB2312"/>
          <w:b w:val="0"/>
          <w:sz w:val="32"/>
        </w:rPr>
        <w:t>健康服务站（事业单位）公用经费支出1.80万元，比上年增加0.00万元，增长0.00%，主要原因是：本年公用经费与上年一致，无差异。</w:t>
      </w:r>
    </w:p>
    <w:p w14:paraId="4440EE76">
      <w:pPr>
        <w:spacing w:line="640" w:lineRule="exact"/>
        <w:ind w:firstLine="640"/>
        <w:jc w:val="both"/>
        <w:outlineLvl w:val="3"/>
      </w:pPr>
      <w:r>
        <w:rPr>
          <w:rFonts w:ascii="楷体_GB2312" w:hAnsi="楷体_GB2312" w:eastAsia="楷体_GB2312"/>
          <w:b/>
          <w:sz w:val="32"/>
        </w:rPr>
        <w:t>（二）政府采购情况</w:t>
      </w:r>
    </w:p>
    <w:p w14:paraId="195F9B0D">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14C9B63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4365D714">
      <w:pPr>
        <w:spacing w:line="640" w:lineRule="exact"/>
        <w:ind w:firstLine="640"/>
        <w:jc w:val="both"/>
        <w:outlineLvl w:val="3"/>
      </w:pPr>
      <w:r>
        <w:rPr>
          <w:rFonts w:ascii="楷体_GB2312" w:hAnsi="楷体_GB2312" w:eastAsia="楷体_GB2312"/>
          <w:b/>
          <w:sz w:val="32"/>
        </w:rPr>
        <w:t>（三）国有资产占用情况说明</w:t>
      </w:r>
    </w:p>
    <w:p w14:paraId="7D2E9673">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2DAF55A">
      <w:pPr>
        <w:spacing w:line="640" w:lineRule="exact"/>
        <w:ind w:firstLine="640"/>
        <w:jc w:val="both"/>
        <w:outlineLvl w:val="2"/>
      </w:pPr>
      <w:r>
        <w:rPr>
          <w:rFonts w:ascii="黑体" w:hAnsi="黑体" w:eastAsia="黑体"/>
          <w:sz w:val="32"/>
        </w:rPr>
        <w:t>十一、预算绩效的情况说明</w:t>
      </w:r>
    </w:p>
    <w:p w14:paraId="15017164">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14:paraId="3C14DABA">
      <w:r>
        <w:br w:type="page"/>
      </w:r>
    </w:p>
    <w:p w14:paraId="54BBB8AA">
      <w:pPr>
        <w:spacing w:line="640" w:lineRule="exact"/>
        <w:ind w:firstLine="640"/>
        <w:jc w:val="both"/>
        <w:outlineLvl w:val="2"/>
      </w:pPr>
      <w:r>
        <w:rPr>
          <w:rFonts w:ascii="黑体" w:hAnsi="黑体" w:eastAsia="黑体"/>
          <w:sz w:val="32"/>
        </w:rPr>
        <w:t>十二、其他需说明的事项</w:t>
      </w:r>
    </w:p>
    <w:p w14:paraId="337274CE">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14:paraId="2D8F5BB4">
      <w:pPr>
        <w:spacing w:line="580" w:lineRule="exact"/>
        <w:ind w:firstLine="640"/>
        <w:jc w:val="both"/>
      </w:pPr>
      <w:r>
        <w:rPr>
          <w:rFonts w:ascii="仿宋_GB2312" w:hAnsi="仿宋_GB2312" w:eastAsia="仿宋_GB2312"/>
          <w:b w:val="0"/>
          <w:sz w:val="32"/>
        </w:rPr>
        <w:t>本年度本单位整体绩效自评表由阿图什市松他克镇人民政府编报并公开。</w:t>
      </w:r>
    </w:p>
    <w:p w14:paraId="30FB24EA">
      <w:r>
        <w:br w:type="page"/>
      </w:r>
    </w:p>
    <w:p w14:paraId="41B3E49B">
      <w:pPr>
        <w:spacing w:line="240" w:lineRule="auto"/>
        <w:jc w:val="center"/>
        <w:outlineLvl w:val="1"/>
      </w:pPr>
      <w:r>
        <w:rPr>
          <w:rFonts w:ascii="黑体" w:hAnsi="黑体" w:eastAsia="黑体"/>
          <w:sz w:val="32"/>
        </w:rPr>
        <w:t>第三部分 专业名词解释</w:t>
      </w:r>
    </w:p>
    <w:p w14:paraId="120DFEB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57F63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E86118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A915B3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5DD951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C2DCB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6DCFCA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DDAF05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E74CC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986B10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8A04A4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6AEBD4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632D9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FD9B9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289E037">
      <w:r>
        <w:br w:type="page"/>
      </w:r>
    </w:p>
    <w:p w14:paraId="0A57A3BB">
      <w:pPr>
        <w:spacing w:line="240" w:lineRule="auto"/>
        <w:jc w:val="center"/>
        <w:outlineLvl w:val="1"/>
      </w:pPr>
      <w:r>
        <w:rPr>
          <w:rFonts w:ascii="黑体" w:hAnsi="黑体" w:eastAsia="黑体"/>
          <w:sz w:val="32"/>
        </w:rPr>
        <w:t>第四部分 部门决算报表（见附表）</w:t>
      </w:r>
    </w:p>
    <w:p w14:paraId="5BF22496">
      <w:pPr>
        <w:spacing w:line="240" w:lineRule="auto"/>
        <w:ind w:firstLine="640"/>
        <w:jc w:val="both"/>
      </w:pPr>
      <w:r>
        <w:rPr>
          <w:rFonts w:ascii="仿宋_GB2312" w:hAnsi="仿宋_GB2312" w:eastAsia="仿宋_GB2312"/>
          <w:b w:val="0"/>
          <w:sz w:val="32"/>
        </w:rPr>
        <w:t>一、《收入支出决算总表》</w:t>
      </w:r>
    </w:p>
    <w:p w14:paraId="2F8FC3C6">
      <w:pPr>
        <w:spacing w:line="240" w:lineRule="auto"/>
        <w:ind w:firstLine="640"/>
        <w:jc w:val="both"/>
      </w:pPr>
      <w:r>
        <w:rPr>
          <w:rFonts w:ascii="仿宋_GB2312" w:hAnsi="仿宋_GB2312" w:eastAsia="仿宋_GB2312"/>
          <w:b w:val="0"/>
          <w:sz w:val="32"/>
        </w:rPr>
        <w:t>二、《收入决算表》</w:t>
      </w:r>
    </w:p>
    <w:p w14:paraId="08D2A53B">
      <w:pPr>
        <w:spacing w:line="240" w:lineRule="auto"/>
        <w:ind w:firstLine="640"/>
        <w:jc w:val="both"/>
      </w:pPr>
      <w:r>
        <w:rPr>
          <w:rFonts w:ascii="仿宋_GB2312" w:hAnsi="仿宋_GB2312" w:eastAsia="仿宋_GB2312"/>
          <w:b w:val="0"/>
          <w:sz w:val="32"/>
        </w:rPr>
        <w:t>三、《支出决算表》</w:t>
      </w:r>
    </w:p>
    <w:p w14:paraId="5C419130">
      <w:pPr>
        <w:spacing w:line="240" w:lineRule="auto"/>
        <w:ind w:firstLine="640"/>
        <w:jc w:val="both"/>
      </w:pPr>
      <w:r>
        <w:rPr>
          <w:rFonts w:ascii="仿宋_GB2312" w:hAnsi="仿宋_GB2312" w:eastAsia="仿宋_GB2312"/>
          <w:b w:val="0"/>
          <w:sz w:val="32"/>
        </w:rPr>
        <w:t>四、《财政拨款收入支出决算总表》</w:t>
      </w:r>
    </w:p>
    <w:p w14:paraId="71658E90">
      <w:pPr>
        <w:spacing w:line="240" w:lineRule="auto"/>
        <w:ind w:firstLine="640"/>
        <w:jc w:val="both"/>
      </w:pPr>
      <w:r>
        <w:rPr>
          <w:rFonts w:ascii="仿宋_GB2312" w:hAnsi="仿宋_GB2312" w:eastAsia="仿宋_GB2312"/>
          <w:b w:val="0"/>
          <w:sz w:val="32"/>
        </w:rPr>
        <w:t>五、《一般公共预算财政拨款支出决算表》</w:t>
      </w:r>
    </w:p>
    <w:p w14:paraId="61DC2934">
      <w:pPr>
        <w:spacing w:line="240" w:lineRule="auto"/>
        <w:ind w:firstLine="640"/>
        <w:jc w:val="both"/>
      </w:pPr>
      <w:r>
        <w:rPr>
          <w:rFonts w:ascii="仿宋_GB2312" w:hAnsi="仿宋_GB2312" w:eastAsia="仿宋_GB2312"/>
          <w:b w:val="0"/>
          <w:sz w:val="32"/>
        </w:rPr>
        <w:t>六、《一般公共预算财政拨款基本支出决算表》</w:t>
      </w:r>
    </w:p>
    <w:p w14:paraId="6C19E231">
      <w:pPr>
        <w:spacing w:line="240" w:lineRule="auto"/>
        <w:ind w:firstLine="640"/>
        <w:jc w:val="both"/>
      </w:pPr>
      <w:r>
        <w:rPr>
          <w:rFonts w:ascii="仿宋_GB2312" w:hAnsi="仿宋_GB2312" w:eastAsia="仿宋_GB2312"/>
          <w:b w:val="0"/>
          <w:sz w:val="32"/>
        </w:rPr>
        <w:t>七、《政府性基金预算财政拨款收入支出决算表》</w:t>
      </w:r>
    </w:p>
    <w:p w14:paraId="2CBC0AEF">
      <w:pPr>
        <w:spacing w:line="240" w:lineRule="auto"/>
        <w:ind w:firstLine="640"/>
        <w:jc w:val="both"/>
      </w:pPr>
      <w:r>
        <w:rPr>
          <w:rFonts w:ascii="仿宋_GB2312" w:hAnsi="仿宋_GB2312" w:eastAsia="仿宋_GB2312"/>
          <w:b w:val="0"/>
          <w:sz w:val="32"/>
        </w:rPr>
        <w:t>八、《国有资本经营预算财政拨款收入支出决算表》</w:t>
      </w:r>
    </w:p>
    <w:p w14:paraId="0BF0A20E">
      <w:pPr>
        <w:spacing w:line="240" w:lineRule="auto"/>
        <w:ind w:firstLine="640"/>
        <w:jc w:val="both"/>
      </w:pPr>
      <w:r>
        <w:rPr>
          <w:rFonts w:ascii="仿宋_GB2312" w:hAnsi="仿宋_GB2312" w:eastAsia="仿宋_GB2312"/>
          <w:b w:val="0"/>
          <w:sz w:val="32"/>
        </w:rPr>
        <w:t>九、《财政拨款“三公”经费支出决算表》</w:t>
      </w:r>
    </w:p>
    <w:p w14:paraId="4E8407A8">
      <w:pPr>
        <w:spacing w:line="240" w:lineRule="auto"/>
        <w:ind w:firstLine="640"/>
        <w:jc w:val="both"/>
      </w:pPr>
    </w:p>
    <w:p w14:paraId="310AE8F4">
      <w:pPr>
        <w:spacing w:line="240" w:lineRule="auto"/>
        <w:ind w:firstLine="640"/>
        <w:jc w:val="both"/>
      </w:pPr>
    </w:p>
    <w:p w14:paraId="21C762F1">
      <w:pPr>
        <w:spacing w:line="240" w:lineRule="auto"/>
        <w:ind w:firstLine="640"/>
        <w:jc w:val="both"/>
      </w:pPr>
    </w:p>
    <w:p w14:paraId="441FFA05">
      <w:pPr>
        <w:spacing w:line="240" w:lineRule="auto"/>
        <w:ind w:firstLine="640"/>
        <w:jc w:val="both"/>
      </w:pPr>
    </w:p>
    <w:p w14:paraId="243F3F2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212482"/>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090ADB"/>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4794</Words>
  <Characters>5370</Characters>
  <Lines>0</Lines>
  <Paragraphs>0</Paragraphs>
  <TotalTime>4</TotalTime>
  <ScaleCrop>false</ScaleCrop>
  <LinksUpToDate>false</LinksUpToDate>
  <CharactersWithSpaces>5380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2026-01-14T03:37:59Z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