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阿图什市技工学校2024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6DC5147">
      <w:r>
        <w:br w:type="page"/>
      </w:r>
    </w:p>
    <w:p w14:paraId="5EAB177A">
      <w:pPr>
        <w:spacing w:line="640" w:lineRule="exact"/>
        <w:jc w:val="center"/>
        <w:outlineLvl w:val="1"/>
      </w:pPr>
      <w:r>
        <w:rPr>
          <w:rFonts w:ascii="黑体" w:hAnsi="黑体" w:eastAsia="黑体"/>
          <w:sz w:val="32"/>
        </w:rPr>
        <w:t>第一部分 单位概况</w:t>
      </w:r>
    </w:p>
    <w:p w14:paraId="2EF8A6C5">
      <w:pPr>
        <w:spacing w:line="640" w:lineRule="exact"/>
        <w:ind w:firstLine="640"/>
        <w:jc w:val="both"/>
        <w:outlineLvl w:val="2"/>
      </w:pPr>
      <w:r>
        <w:rPr>
          <w:rFonts w:ascii="黑体" w:hAnsi="黑体" w:eastAsia="黑体"/>
          <w:sz w:val="32"/>
        </w:rPr>
        <w:t>一、主要职能</w:t>
      </w:r>
    </w:p>
    <w:p w14:paraId="24405D9E">
      <w:pPr>
        <w:spacing w:line="580" w:lineRule="exact"/>
        <w:ind w:firstLine="640"/>
        <w:jc w:val="both"/>
        <w:rPr>
          <w:rFonts w:hint="eastAsia" w:eastAsia="仿宋_GB2312"/>
          <w:lang w:eastAsia="zh-CN"/>
        </w:rPr>
      </w:pPr>
      <w:r>
        <w:rPr>
          <w:rFonts w:ascii="仿宋_GB2312" w:hAnsi="仿宋_GB2312" w:eastAsia="仿宋_GB2312"/>
          <w:sz w:val="32"/>
        </w:rPr>
        <w:t>1.坚持党的基本路线。认真贯彻党的教育方针，遵守国家法律法规，全面推进素质教育，宣传、贯彻、执行市委、市政府的指示和决议，保证各项工作的贯彻落实</w:t>
      </w:r>
      <w:r>
        <w:rPr>
          <w:rFonts w:hint="eastAsia" w:ascii="仿宋_GB2312" w:hAnsi="仿宋_GB2312" w:eastAsia="仿宋_GB2312"/>
          <w:sz w:val="32"/>
          <w:lang w:eastAsia="zh-CN"/>
        </w:rPr>
        <w:t>；</w:t>
      </w:r>
    </w:p>
    <w:p w14:paraId="76840EC7">
      <w:pPr>
        <w:spacing w:line="580" w:lineRule="exact"/>
        <w:ind w:firstLine="640"/>
        <w:jc w:val="both"/>
        <w:rPr>
          <w:rFonts w:ascii="仿宋_GB2312" w:hAnsi="仿宋_GB2312" w:eastAsia="仿宋_GB2312"/>
          <w:sz w:val="32"/>
        </w:rPr>
      </w:pPr>
      <w:r>
        <w:rPr>
          <w:rFonts w:ascii="仿宋_GB2312" w:hAnsi="仿宋_GB2312" w:eastAsia="仿宋_GB2312"/>
          <w:sz w:val="32"/>
        </w:rPr>
        <w:t>2.加强学风建设，建立良好的教学秩序，提高学生到课率，定期开展学习经验交流活动；</w:t>
      </w:r>
    </w:p>
    <w:p w14:paraId="592FEEA6">
      <w:pPr>
        <w:spacing w:line="580" w:lineRule="exact"/>
        <w:ind w:firstLine="640"/>
        <w:jc w:val="both"/>
        <w:rPr>
          <w:rFonts w:hint="eastAsia" w:eastAsia="仿宋_GB2312"/>
          <w:lang w:eastAsia="zh-CN"/>
        </w:rPr>
      </w:pPr>
      <w:r>
        <w:rPr>
          <w:rFonts w:ascii="仿宋_GB2312" w:hAnsi="仿宋_GB2312" w:eastAsia="仿宋_GB2312"/>
          <w:sz w:val="32"/>
        </w:rPr>
        <w:t>3.负责队伍建设和管理，组</w:t>
      </w:r>
      <w:bookmarkStart w:id="0" w:name="_GoBack"/>
      <w:bookmarkEnd w:id="0"/>
      <w:r>
        <w:rPr>
          <w:rFonts w:ascii="仿宋_GB2312" w:hAnsi="仿宋_GB2312" w:eastAsia="仿宋_GB2312"/>
          <w:sz w:val="32"/>
        </w:rPr>
        <w:t>织、指导解决学生管理中遇到的各种问题</w:t>
      </w:r>
      <w:r>
        <w:rPr>
          <w:rFonts w:hint="eastAsia" w:ascii="仿宋_GB2312" w:hAnsi="仿宋_GB2312" w:eastAsia="仿宋_GB2312"/>
          <w:sz w:val="32"/>
          <w:lang w:eastAsia="zh-CN"/>
        </w:rPr>
        <w:t>；</w:t>
      </w:r>
    </w:p>
    <w:p w14:paraId="5A343E89">
      <w:pPr>
        <w:spacing w:line="580" w:lineRule="exact"/>
        <w:ind w:firstLine="640"/>
        <w:jc w:val="both"/>
        <w:rPr>
          <w:rFonts w:hint="eastAsia" w:eastAsia="仿宋_GB2312"/>
          <w:lang w:eastAsia="zh-CN"/>
        </w:rPr>
      </w:pPr>
      <w:r>
        <w:rPr>
          <w:rFonts w:hint="eastAsia" w:ascii="仿宋_GB2312" w:hAnsi="仿宋_GB2312" w:eastAsia="仿宋_GB2312"/>
          <w:sz w:val="32"/>
          <w:lang w:val="en-US" w:eastAsia="zh-CN"/>
        </w:rPr>
        <w:t>4</w:t>
      </w:r>
      <w:r>
        <w:rPr>
          <w:rFonts w:ascii="仿宋_GB2312" w:hAnsi="仿宋_GB2312" w:eastAsia="仿宋_GB2312"/>
          <w:sz w:val="32"/>
        </w:rPr>
        <w:t>.以市场需求和农牧民意愿为导向，组织开展鞋帽加工、社会服务、餐饮服务、农牧科技、机电维修、建筑施工等方面的就业技能和实用技术培训</w:t>
      </w:r>
      <w:r>
        <w:rPr>
          <w:rFonts w:hint="eastAsia" w:ascii="仿宋_GB2312" w:hAnsi="仿宋_GB2312" w:eastAsia="仿宋_GB2312"/>
          <w:sz w:val="32"/>
          <w:lang w:eastAsia="zh-CN"/>
        </w:rPr>
        <w:t>；</w:t>
      </w:r>
    </w:p>
    <w:p w14:paraId="14F990D6">
      <w:pPr>
        <w:spacing w:line="580" w:lineRule="exact"/>
        <w:ind w:firstLine="640"/>
        <w:jc w:val="both"/>
        <w:rPr>
          <w:rFonts w:hint="eastAsia" w:eastAsia="仿宋_GB2312"/>
          <w:lang w:eastAsia="zh-CN"/>
        </w:rPr>
      </w:pPr>
      <w:r>
        <w:rPr>
          <w:rFonts w:hint="eastAsia" w:ascii="仿宋_GB2312" w:hAnsi="仿宋_GB2312" w:eastAsia="仿宋_GB2312"/>
          <w:sz w:val="32"/>
          <w:lang w:val="en-US" w:eastAsia="zh-CN"/>
        </w:rPr>
        <w:t>5</w:t>
      </w:r>
      <w:r>
        <w:rPr>
          <w:rFonts w:ascii="仿宋_GB2312" w:hAnsi="仿宋_GB2312" w:eastAsia="仿宋_GB2312"/>
          <w:sz w:val="32"/>
        </w:rPr>
        <w:t>.对农牧民普遍开展基本劳动素质培训，根据岗位要求开展订单式技能培训，帮助他们掌握就业技能，对失业和转岗人员组织参加新技能培训，帮助其尽快返岗转岗</w:t>
      </w:r>
      <w:r>
        <w:rPr>
          <w:rFonts w:hint="eastAsia" w:ascii="仿宋_GB2312" w:hAnsi="仿宋_GB2312" w:eastAsia="仿宋_GB2312"/>
          <w:sz w:val="32"/>
          <w:lang w:eastAsia="zh-CN"/>
        </w:rPr>
        <w:t>；</w:t>
      </w:r>
    </w:p>
    <w:p w14:paraId="2BA2F426">
      <w:pPr>
        <w:spacing w:line="580" w:lineRule="exact"/>
        <w:ind w:firstLine="640"/>
        <w:jc w:val="both"/>
      </w:pPr>
      <w:r>
        <w:rPr>
          <w:rFonts w:hint="eastAsia" w:ascii="仿宋_GB2312" w:hAnsi="仿宋_GB2312" w:eastAsia="仿宋_GB2312"/>
          <w:sz w:val="32"/>
          <w:lang w:val="en-US" w:eastAsia="zh-CN"/>
        </w:rPr>
        <w:t>6</w:t>
      </w:r>
      <w:r>
        <w:rPr>
          <w:rFonts w:ascii="仿宋_GB2312" w:hAnsi="仿宋_GB2312" w:eastAsia="仿宋_GB2312"/>
          <w:sz w:val="32"/>
        </w:rPr>
        <w:t>.完成市委、市人民政府交办的其他各项工作。</w:t>
      </w:r>
    </w:p>
    <w:p w14:paraId="07E14A12">
      <w:pPr>
        <w:spacing w:line="640" w:lineRule="exact"/>
        <w:ind w:firstLine="640"/>
        <w:jc w:val="both"/>
        <w:outlineLvl w:val="2"/>
      </w:pPr>
      <w:r>
        <w:rPr>
          <w:rFonts w:ascii="黑体" w:hAnsi="黑体" w:eastAsia="黑体"/>
          <w:sz w:val="32"/>
        </w:rPr>
        <w:t>二、机构设置及人员情况</w:t>
      </w:r>
    </w:p>
    <w:p w14:paraId="10D99A12">
      <w:pPr>
        <w:spacing w:line="580" w:lineRule="exact"/>
        <w:ind w:firstLine="640"/>
        <w:jc w:val="both"/>
      </w:pPr>
      <w:r>
        <w:rPr>
          <w:rFonts w:ascii="仿宋_GB2312" w:hAnsi="仿宋_GB2312" w:eastAsia="仿宋_GB2312"/>
          <w:sz w:val="32"/>
        </w:rPr>
        <w:t>阿图什市技工学校2024年度，实有人数28人，其中：在职人员28人，增加12人；离休人员0人，增加0人；退休人员0人,增加0人。</w:t>
      </w:r>
    </w:p>
    <w:p w14:paraId="70D02057">
      <w:pPr>
        <w:spacing w:line="580" w:lineRule="exact"/>
        <w:ind w:firstLine="640"/>
        <w:jc w:val="both"/>
      </w:pPr>
      <w:r>
        <w:rPr>
          <w:rFonts w:ascii="仿宋_GB2312" w:hAnsi="仿宋_GB2312" w:eastAsia="仿宋_GB2312"/>
          <w:sz w:val="32"/>
        </w:rPr>
        <w:t>阿图什市技工学校无下属预算单位，下设7个科室，分别是：办公室、学生管理室、后勤保障室、招生就业室、医务室、人力资源市场、教务教学室。</w:t>
      </w:r>
    </w:p>
    <w:p w14:paraId="3220AFE7">
      <w:r>
        <w:br w:type="page"/>
      </w:r>
    </w:p>
    <w:p w14:paraId="69BE4B57">
      <w:pPr>
        <w:spacing w:line="240" w:lineRule="auto"/>
        <w:jc w:val="center"/>
        <w:outlineLvl w:val="1"/>
      </w:pPr>
      <w:r>
        <w:rPr>
          <w:rFonts w:ascii="黑体" w:hAnsi="黑体" w:eastAsia="黑体"/>
          <w:sz w:val="32"/>
        </w:rPr>
        <w:t>第二部分 部门决算情况说明</w:t>
      </w:r>
    </w:p>
    <w:p w14:paraId="503FCABC">
      <w:pPr>
        <w:spacing w:line="640" w:lineRule="exact"/>
        <w:ind w:firstLine="640"/>
        <w:jc w:val="both"/>
        <w:outlineLvl w:val="2"/>
      </w:pPr>
      <w:r>
        <w:rPr>
          <w:rFonts w:ascii="黑体" w:hAnsi="黑体" w:eastAsia="黑体"/>
          <w:sz w:val="32"/>
        </w:rPr>
        <w:t>一、收入支出决算总体情况说明</w:t>
      </w:r>
    </w:p>
    <w:p w14:paraId="51B1EEB5">
      <w:pPr>
        <w:spacing w:line="580" w:lineRule="exact"/>
        <w:ind w:firstLine="640"/>
        <w:jc w:val="both"/>
      </w:pPr>
      <w:r>
        <w:rPr>
          <w:rFonts w:ascii="仿宋_GB2312" w:hAnsi="仿宋_GB2312" w:eastAsia="仿宋_GB2312"/>
          <w:b/>
          <w:sz w:val="32"/>
        </w:rPr>
        <w:t>2024年度收入总计2,016.97万元，</w:t>
      </w:r>
      <w:r>
        <w:rPr>
          <w:rFonts w:ascii="仿宋_GB2312" w:hAnsi="仿宋_GB2312" w:eastAsia="仿宋_GB2312"/>
          <w:b w:val="0"/>
          <w:sz w:val="32"/>
        </w:rPr>
        <w:t>其中：本年收入合计1,299.62万元，使用非财政拨款结余（含专用结余）0.00万元，年初结转和结余717.35万元。</w:t>
      </w:r>
    </w:p>
    <w:p w14:paraId="504AD787">
      <w:pPr>
        <w:spacing w:line="580" w:lineRule="exact"/>
        <w:ind w:firstLine="640"/>
        <w:jc w:val="both"/>
      </w:pPr>
      <w:r>
        <w:rPr>
          <w:rFonts w:ascii="仿宋_GB2312" w:hAnsi="仿宋_GB2312" w:eastAsia="仿宋_GB2312"/>
          <w:b/>
          <w:sz w:val="32"/>
        </w:rPr>
        <w:t>2024年度支出总计2,016.97万元，</w:t>
      </w:r>
      <w:r>
        <w:rPr>
          <w:rFonts w:ascii="仿宋_GB2312" w:hAnsi="仿宋_GB2312" w:eastAsia="仿宋_GB2312"/>
          <w:b w:val="0"/>
          <w:sz w:val="32"/>
        </w:rPr>
        <w:t>其中：本年支出合计1,246.55万元，结余分配0.00万元，年末结转和结余770.42万元。</w:t>
      </w:r>
    </w:p>
    <w:p w14:paraId="1EA685A2">
      <w:pPr>
        <w:spacing w:line="580" w:lineRule="exact"/>
        <w:ind w:firstLine="640"/>
        <w:jc w:val="both"/>
      </w:pPr>
      <w:r>
        <w:rPr>
          <w:rFonts w:ascii="仿宋_GB2312" w:hAnsi="仿宋_GB2312" w:eastAsia="仿宋_GB2312"/>
          <w:b w:val="0"/>
          <w:sz w:val="32"/>
        </w:rPr>
        <w:t>收入支出总体与上年相比，增加974.32万元，增长93.45%，主要原因是：本年在职人员增加，在职人员工资调增、社保、公积金基数调增，人员经费增加。</w:t>
      </w:r>
    </w:p>
    <w:p w14:paraId="316697C8">
      <w:pPr>
        <w:spacing w:line="640" w:lineRule="exact"/>
        <w:ind w:firstLine="640"/>
        <w:jc w:val="both"/>
        <w:outlineLvl w:val="2"/>
      </w:pPr>
      <w:r>
        <w:rPr>
          <w:rFonts w:ascii="黑体" w:hAnsi="黑体" w:eastAsia="黑体"/>
          <w:sz w:val="32"/>
        </w:rPr>
        <w:t>二、收入决算情况说明</w:t>
      </w:r>
    </w:p>
    <w:p w14:paraId="6ADE9B67">
      <w:pPr>
        <w:spacing w:line="580" w:lineRule="exact"/>
        <w:ind w:firstLine="640"/>
        <w:jc w:val="both"/>
      </w:pPr>
      <w:r>
        <w:rPr>
          <w:rFonts w:ascii="仿宋_GB2312" w:hAnsi="仿宋_GB2312" w:eastAsia="仿宋_GB2312"/>
          <w:b/>
          <w:sz w:val="32"/>
        </w:rPr>
        <w:t>本年收入1,299.62万元，</w:t>
      </w:r>
      <w:r>
        <w:rPr>
          <w:rFonts w:ascii="仿宋_GB2312" w:hAnsi="仿宋_GB2312" w:eastAsia="仿宋_GB2312"/>
          <w:b w:val="0"/>
          <w:sz w:val="32"/>
        </w:rPr>
        <w:t>其中：财政拨款收入471.99万元，占36.32%；上级补助收入0.00万元，占0.00%；事业收入0.00万元，占0.00%；经营收入0.00万元，占0.00%；附属单位上缴收入0.00万元，占0.00%；其他收入827.63万元，占63.68%。</w:t>
      </w:r>
    </w:p>
    <w:p w14:paraId="5691A9DC">
      <w:pPr>
        <w:spacing w:line="640" w:lineRule="exact"/>
        <w:ind w:firstLine="640"/>
        <w:jc w:val="both"/>
        <w:outlineLvl w:val="2"/>
      </w:pPr>
      <w:r>
        <w:rPr>
          <w:rFonts w:ascii="黑体" w:hAnsi="黑体" w:eastAsia="黑体"/>
          <w:sz w:val="32"/>
        </w:rPr>
        <w:t>三、支出决算情况说明</w:t>
      </w:r>
    </w:p>
    <w:p w14:paraId="2437F203">
      <w:pPr>
        <w:spacing w:line="580" w:lineRule="exact"/>
        <w:ind w:firstLine="640"/>
        <w:jc w:val="both"/>
      </w:pPr>
      <w:r>
        <w:rPr>
          <w:rFonts w:ascii="仿宋_GB2312" w:hAnsi="仿宋_GB2312" w:eastAsia="仿宋_GB2312"/>
          <w:b/>
          <w:sz w:val="32"/>
        </w:rPr>
        <w:t>本年支出1,246.55万元，</w:t>
      </w:r>
      <w:r>
        <w:rPr>
          <w:rFonts w:ascii="仿宋_GB2312" w:hAnsi="仿宋_GB2312" w:eastAsia="仿宋_GB2312"/>
          <w:b w:val="0"/>
          <w:sz w:val="32"/>
        </w:rPr>
        <w:t>其中：基本支出471.99万元，占37.86%；项目支出774.56万元，占62.14%；上缴上级支出0.00万元，占0.00%；经营支出0.00万元，占0.00%；对附属单位补助支出0.00万元，占0.00%。</w:t>
      </w:r>
    </w:p>
    <w:p w14:paraId="02C0CE56">
      <w:pPr>
        <w:spacing w:line="640" w:lineRule="exact"/>
        <w:ind w:firstLine="640"/>
        <w:jc w:val="both"/>
        <w:outlineLvl w:val="2"/>
      </w:pPr>
      <w:r>
        <w:rPr>
          <w:rFonts w:ascii="黑体" w:hAnsi="黑体" w:eastAsia="黑体"/>
          <w:sz w:val="32"/>
        </w:rPr>
        <w:t>四、财政拨款收入支出决算总体情况说明</w:t>
      </w:r>
    </w:p>
    <w:p w14:paraId="25080027">
      <w:pPr>
        <w:spacing w:line="580" w:lineRule="exact"/>
        <w:ind w:firstLine="640"/>
        <w:jc w:val="both"/>
      </w:pPr>
      <w:r>
        <w:rPr>
          <w:rFonts w:ascii="仿宋_GB2312" w:hAnsi="仿宋_GB2312" w:eastAsia="仿宋_GB2312"/>
          <w:b/>
          <w:sz w:val="32"/>
        </w:rPr>
        <w:t>2024年度财政拨款收入总计471.99万元，</w:t>
      </w:r>
      <w:r>
        <w:rPr>
          <w:rFonts w:ascii="仿宋_GB2312" w:hAnsi="仿宋_GB2312" w:eastAsia="仿宋_GB2312"/>
          <w:b w:val="0"/>
          <w:sz w:val="32"/>
        </w:rPr>
        <w:t>其中：年初财政拨款结转和结余0.00万元，本年财政拨款收入471.99万元。</w:t>
      </w:r>
      <w:r>
        <w:rPr>
          <w:rFonts w:ascii="仿宋_GB2312" w:hAnsi="仿宋_GB2312" w:eastAsia="仿宋_GB2312"/>
          <w:b/>
          <w:sz w:val="32"/>
        </w:rPr>
        <w:t>财政拨款支出总计471.99万元，</w:t>
      </w:r>
      <w:r>
        <w:rPr>
          <w:rFonts w:ascii="仿宋_GB2312" w:hAnsi="仿宋_GB2312" w:eastAsia="仿宋_GB2312"/>
          <w:b w:val="0"/>
          <w:sz w:val="32"/>
        </w:rPr>
        <w:t>其中：年末财政拨款结转和结余0.00万元，本年财政拨款支出471.99万元。</w:t>
      </w:r>
    </w:p>
    <w:p w14:paraId="2069253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增加122.37万元，增长35.00%，主要原因是：本年在职人员增加，在职人员工资调增、社保、公积金基数调增，人员经费增加。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年初预算数505.21万元，决算数471.99万元，预决算差异率-6.58%，主要原因是：年中调减技工学校教学楼、实训室、公寓楼维修项目资金，导致预决算存在差异。</w:t>
      </w:r>
    </w:p>
    <w:p w14:paraId="7A6EAA09">
      <w:pPr>
        <w:spacing w:line="640" w:lineRule="exact"/>
        <w:ind w:firstLine="640"/>
        <w:jc w:val="both"/>
        <w:outlineLvl w:val="2"/>
      </w:pPr>
      <w:r>
        <w:rPr>
          <w:rFonts w:ascii="黑体" w:hAnsi="黑体" w:eastAsia="黑体"/>
          <w:sz w:val="32"/>
        </w:rPr>
        <w:t>五、一般公共预算财政拨款支出决算情况说明</w:t>
      </w:r>
    </w:p>
    <w:p w14:paraId="37DFB08F">
      <w:pPr>
        <w:spacing w:line="640" w:lineRule="exact"/>
        <w:ind w:firstLine="640"/>
        <w:jc w:val="both"/>
        <w:outlineLvl w:val="3"/>
      </w:pPr>
      <w:r>
        <w:rPr>
          <w:rFonts w:ascii="楷体_GB2312" w:hAnsi="楷体_GB2312" w:eastAsia="楷体_GB2312"/>
          <w:b/>
          <w:sz w:val="32"/>
        </w:rPr>
        <w:t>（一）一般公共预算财政拨款支出决算总体情况</w:t>
      </w:r>
    </w:p>
    <w:p w14:paraId="2A347E6B">
      <w:pPr>
        <w:spacing w:line="580" w:lineRule="exact"/>
        <w:ind w:firstLine="640"/>
        <w:jc w:val="both"/>
      </w:pPr>
      <w:r>
        <w:rPr>
          <w:rFonts w:ascii="仿宋_GB2312" w:hAnsi="仿宋_GB2312" w:eastAsia="仿宋_GB2312"/>
          <w:b/>
          <w:sz w:val="32"/>
        </w:rPr>
        <w:t>2024年度一般公共预算财政拨款支出471.99万元，</w:t>
      </w:r>
      <w:r>
        <w:rPr>
          <w:rFonts w:ascii="仿宋_GB2312" w:hAnsi="仿宋_GB2312" w:eastAsia="仿宋_GB2312"/>
          <w:b w:val="0"/>
          <w:sz w:val="32"/>
        </w:rPr>
        <w:t>占本年支出合计的37.86%。</w:t>
      </w:r>
      <w:r>
        <w:rPr>
          <w:rFonts w:ascii="仿宋_GB2312" w:hAnsi="仿宋_GB2312" w:eastAsia="仿宋_GB2312"/>
          <w:b/>
          <w:sz w:val="32"/>
        </w:rPr>
        <w:t>与上年相比，</w:t>
      </w:r>
      <w:r>
        <w:rPr>
          <w:rFonts w:ascii="仿宋_GB2312" w:hAnsi="仿宋_GB2312" w:eastAsia="仿宋_GB2312"/>
          <w:b w:val="0"/>
          <w:sz w:val="32"/>
        </w:rPr>
        <w:t>增加122.37万元，增长35.00%，主要原因是：本年在职人员增加，在职人员工资调增、社保、公积金基数调增，人员经费增加。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年初预算数505.21万元，决算数471.99万元，预决算差异率-6.58%，主要原因是：年中调减技工学校教学楼、实训室、公寓楼维修项目资金，导致预决算存在差异。</w:t>
      </w:r>
    </w:p>
    <w:p w14:paraId="0B9238B7">
      <w:pPr>
        <w:spacing w:line="640" w:lineRule="exact"/>
        <w:ind w:firstLine="640"/>
        <w:jc w:val="both"/>
        <w:outlineLvl w:val="3"/>
      </w:pPr>
      <w:r>
        <w:rPr>
          <w:rFonts w:ascii="楷体_GB2312" w:hAnsi="楷体_GB2312" w:eastAsia="楷体_GB2312"/>
          <w:b/>
          <w:sz w:val="32"/>
        </w:rPr>
        <w:t>（二）一般公共预算财政拨款支出决算结构情况</w:t>
      </w:r>
    </w:p>
    <w:p w14:paraId="36B29F38">
      <w:pPr>
        <w:spacing w:line="580" w:lineRule="exact"/>
        <w:ind w:firstLine="640"/>
        <w:jc w:val="both"/>
      </w:pPr>
      <w:r>
        <w:rPr>
          <w:rFonts w:ascii="仿宋_GB2312" w:hAnsi="仿宋_GB2312" w:eastAsia="仿宋_GB2312"/>
          <w:b w:val="0"/>
          <w:sz w:val="32"/>
        </w:rPr>
        <w:t>1.教育支出(类)426.16万元,占90.29%。</w:t>
      </w:r>
    </w:p>
    <w:p w14:paraId="575D241F">
      <w:pPr>
        <w:spacing w:line="580" w:lineRule="exact"/>
        <w:ind w:firstLine="640"/>
        <w:jc w:val="both"/>
      </w:pPr>
      <w:r>
        <w:rPr>
          <w:rFonts w:ascii="仿宋_GB2312" w:hAnsi="仿宋_GB2312" w:eastAsia="仿宋_GB2312"/>
          <w:b w:val="0"/>
          <w:sz w:val="32"/>
        </w:rPr>
        <w:t>2.社会保障和就业支出(类)25.41万元,占5.38%。</w:t>
      </w:r>
    </w:p>
    <w:p w14:paraId="09BA2A21">
      <w:pPr>
        <w:spacing w:line="580" w:lineRule="exact"/>
        <w:ind w:firstLine="640"/>
        <w:jc w:val="both"/>
      </w:pPr>
      <w:r>
        <w:rPr>
          <w:rFonts w:ascii="仿宋_GB2312" w:hAnsi="仿宋_GB2312" w:eastAsia="仿宋_GB2312"/>
          <w:b w:val="0"/>
          <w:sz w:val="32"/>
        </w:rPr>
        <w:t>3.住房保障支出(类)20.42万元,占4.33%。</w:t>
      </w:r>
    </w:p>
    <w:p w14:paraId="591B0696">
      <w:pPr>
        <w:spacing w:line="640" w:lineRule="exact"/>
        <w:ind w:firstLine="640"/>
        <w:jc w:val="both"/>
        <w:outlineLvl w:val="3"/>
      </w:pPr>
      <w:r>
        <w:rPr>
          <w:rFonts w:ascii="楷体_GB2312" w:hAnsi="楷体_GB2312" w:eastAsia="楷体_GB2312"/>
          <w:b/>
          <w:sz w:val="32"/>
        </w:rPr>
        <w:t>（三）一般公共预算财政拨款支出决算具体情况</w:t>
      </w:r>
    </w:p>
    <w:p w14:paraId="1DD388C5">
      <w:pPr>
        <w:spacing w:line="580" w:lineRule="exact"/>
        <w:ind w:firstLine="640"/>
        <w:jc w:val="both"/>
      </w:pPr>
      <w:r>
        <w:rPr>
          <w:rFonts w:ascii="仿宋_GB2312" w:hAnsi="仿宋_GB2312" w:eastAsia="仿宋_GB2312"/>
          <w:b w:val="0"/>
          <w:sz w:val="32"/>
        </w:rPr>
        <w:t>1.教育支出(类)职业教育(款)技校教育(项):支出决算数为426.16万元，比上年决算增加164.76万元，增长63.03%,主要原因是：本年在职人员增加12名，在职人员工资调增、社保、公积金基数调增，人员经费增加。</w:t>
      </w:r>
    </w:p>
    <w:p w14:paraId="39BB85EA">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25.41万元，比上年决算增加4.76万元，增长23.05%,主要原因是：本年在职人员工资基数调增，养老缴费基数上涨，相应支出增加。</w:t>
      </w:r>
    </w:p>
    <w:p w14:paraId="3155C194">
      <w:pPr>
        <w:spacing w:line="580" w:lineRule="exact"/>
        <w:ind w:firstLine="640"/>
        <w:jc w:val="both"/>
      </w:pPr>
      <w:r>
        <w:rPr>
          <w:rFonts w:ascii="仿宋_GB2312" w:hAnsi="仿宋_GB2312" w:eastAsia="仿宋_GB2312"/>
          <w:b w:val="0"/>
          <w:sz w:val="32"/>
        </w:rPr>
        <w:t>3.社会保障和就业支出(类)就业补助(款)其他就业补助支出(项):支出决算数为0.00万元，比上年决算减少50.00万元，下降100.00%,主要原因是：本年减少就业补助项目资金。</w:t>
      </w:r>
    </w:p>
    <w:p w14:paraId="71114773">
      <w:pPr>
        <w:spacing w:line="580" w:lineRule="exact"/>
        <w:ind w:firstLine="640"/>
        <w:jc w:val="both"/>
      </w:pPr>
      <w:r>
        <w:rPr>
          <w:rFonts w:ascii="仿宋_GB2312" w:hAnsi="仿宋_GB2312" w:eastAsia="仿宋_GB2312"/>
          <w:b w:val="0"/>
          <w:sz w:val="32"/>
        </w:rPr>
        <w:t>4.住房保障支出(类)住房改革支出(款)住房公积金(项):支出决算数为20.42万元，比上年决算增加2.84万元，增长16.15%,主要原因是：本年在职人员工资基数调增，公积金缴费基数上涨，相应支出增加。</w:t>
      </w:r>
    </w:p>
    <w:p w14:paraId="4EC8258F">
      <w:pPr>
        <w:spacing w:line="640" w:lineRule="exact"/>
        <w:ind w:firstLine="640"/>
        <w:jc w:val="both"/>
        <w:outlineLvl w:val="2"/>
      </w:pPr>
      <w:r>
        <w:rPr>
          <w:rFonts w:ascii="黑体" w:hAnsi="黑体" w:eastAsia="黑体"/>
          <w:sz w:val="32"/>
        </w:rPr>
        <w:t>六、一般公共预算财政拨款基本支出决算情况说明</w:t>
      </w:r>
    </w:p>
    <w:p w14:paraId="564C3DFB">
      <w:pPr>
        <w:spacing w:line="580" w:lineRule="exact"/>
        <w:ind w:firstLine="640"/>
        <w:jc w:val="both"/>
      </w:pPr>
      <w:r>
        <w:rPr>
          <w:rFonts w:ascii="仿宋_GB2312" w:hAnsi="仿宋_GB2312" w:eastAsia="仿宋_GB2312"/>
          <w:b w:val="0"/>
          <w:sz w:val="32"/>
        </w:rPr>
        <w:t>2024年度一般公共预算财政拨款基本支出471.99万元，其中：</w:t>
      </w:r>
      <w:r>
        <w:rPr>
          <w:rFonts w:ascii="仿宋_GB2312" w:hAnsi="仿宋_GB2312" w:eastAsia="仿宋_GB2312"/>
          <w:b/>
          <w:sz w:val="32"/>
        </w:rPr>
        <w:t>人员经费405.34万元，</w:t>
      </w:r>
      <w:r>
        <w:rPr>
          <w:rFonts w:ascii="仿宋_GB2312" w:hAnsi="仿宋_GB2312" w:eastAsia="仿宋_GB2312"/>
          <w:b w:val="0"/>
          <w:sz w:val="32"/>
        </w:rPr>
        <w:t>包括：基本工资、津贴补贴、奖金、机关事业单位基本养老保险缴费、职工基本医疗保险缴费、其他社会保障缴费、住房公积金。</w:t>
      </w:r>
    </w:p>
    <w:p w14:paraId="62C7C9E5">
      <w:pPr>
        <w:spacing w:line="580" w:lineRule="exact"/>
        <w:ind w:firstLine="640"/>
        <w:jc w:val="both"/>
      </w:pPr>
      <w:r>
        <w:rPr>
          <w:rFonts w:ascii="仿宋_GB2312" w:hAnsi="仿宋_GB2312" w:eastAsia="仿宋_GB2312"/>
          <w:b/>
          <w:sz w:val="32"/>
        </w:rPr>
        <w:t>公用经费66.65万元，</w:t>
      </w:r>
      <w:r>
        <w:rPr>
          <w:rFonts w:ascii="仿宋_GB2312" w:hAnsi="仿宋_GB2312" w:eastAsia="仿宋_GB2312"/>
          <w:b w:val="0"/>
          <w:sz w:val="32"/>
        </w:rPr>
        <w:t>包括：办公费、取暖费。</w:t>
      </w:r>
    </w:p>
    <w:p w14:paraId="2A37C587">
      <w:pPr>
        <w:spacing w:line="640" w:lineRule="exact"/>
        <w:ind w:firstLine="640"/>
        <w:jc w:val="both"/>
        <w:outlineLvl w:val="2"/>
      </w:pPr>
      <w:r>
        <w:rPr>
          <w:rFonts w:ascii="黑体" w:hAnsi="黑体" w:eastAsia="黑体"/>
          <w:sz w:val="32"/>
        </w:rPr>
        <w:t>七、政府性基金预算财政拨款收入支出决算情况说明</w:t>
      </w:r>
    </w:p>
    <w:p w14:paraId="3B213BDB">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9C98F5B">
      <w:pPr>
        <w:spacing w:line="640" w:lineRule="exact"/>
        <w:ind w:firstLine="640"/>
        <w:jc w:val="both"/>
        <w:outlineLvl w:val="2"/>
      </w:pPr>
      <w:r>
        <w:rPr>
          <w:rFonts w:ascii="黑体" w:hAnsi="黑体" w:eastAsia="黑体"/>
          <w:sz w:val="32"/>
        </w:rPr>
        <w:t>八、国有资本经营预算财政拨款收入支出决算情况说明</w:t>
      </w:r>
    </w:p>
    <w:p w14:paraId="2CCF23B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1F04BF3">
      <w:pPr>
        <w:spacing w:line="640" w:lineRule="exact"/>
        <w:ind w:firstLine="640"/>
        <w:jc w:val="both"/>
        <w:outlineLvl w:val="2"/>
      </w:pPr>
      <w:r>
        <w:rPr>
          <w:rFonts w:ascii="黑体" w:hAnsi="黑体" w:eastAsia="黑体"/>
          <w:sz w:val="32"/>
        </w:rPr>
        <w:t>九、财政拨款“三公”经费支出决算情况说明</w:t>
      </w:r>
    </w:p>
    <w:p w14:paraId="522D475E">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7D834DC6">
      <w:pPr>
        <w:spacing w:line="580" w:lineRule="exact"/>
        <w:ind w:firstLine="640"/>
        <w:jc w:val="both"/>
      </w:pPr>
      <w:r>
        <w:rPr>
          <w:rFonts w:ascii="仿宋_GB2312" w:hAnsi="仿宋_GB2312" w:eastAsia="仿宋_GB2312"/>
          <w:b/>
          <w:sz w:val="32"/>
        </w:rPr>
        <w:t>具体情况如下：</w:t>
      </w:r>
    </w:p>
    <w:p w14:paraId="1A55E23D">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BDD2ABD">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差异车辆为单位业务用车，预算未安排公务用车运行维护费。</w:t>
      </w:r>
    </w:p>
    <w:p w14:paraId="46072AC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967DCB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5518945">
      <w:pPr>
        <w:spacing w:line="640" w:lineRule="exact"/>
        <w:ind w:firstLine="640"/>
        <w:jc w:val="both"/>
        <w:outlineLvl w:val="2"/>
      </w:pPr>
      <w:r>
        <w:rPr>
          <w:rFonts w:ascii="黑体" w:hAnsi="黑体" w:eastAsia="黑体"/>
          <w:sz w:val="32"/>
        </w:rPr>
        <w:t>十、其他重要事项的情况说明</w:t>
      </w:r>
    </w:p>
    <w:p w14:paraId="23AFEE1B">
      <w:pPr>
        <w:spacing w:line="640" w:lineRule="exact"/>
        <w:ind w:firstLine="640"/>
        <w:jc w:val="both"/>
        <w:outlineLvl w:val="3"/>
      </w:pPr>
      <w:r>
        <w:rPr>
          <w:rFonts w:ascii="楷体_GB2312" w:hAnsi="楷体_GB2312" w:eastAsia="楷体_GB2312"/>
          <w:b/>
          <w:sz w:val="32"/>
        </w:rPr>
        <w:t>（一）机关运行经费及公用经费支出情况</w:t>
      </w:r>
    </w:p>
    <w:p w14:paraId="20FB7C62">
      <w:pPr>
        <w:spacing w:line="580" w:lineRule="exact"/>
        <w:ind w:firstLine="640"/>
        <w:jc w:val="both"/>
      </w:pPr>
      <w:r>
        <w:rPr>
          <w:rFonts w:ascii="仿宋_GB2312" w:hAnsi="仿宋_GB2312" w:eastAsia="仿宋_GB2312"/>
          <w:b w:val="0"/>
          <w:sz w:val="32"/>
        </w:rPr>
        <w:t>2024年度阿图什市技工学校（事业单位）公用经费支出66.65万元，比上年减少57.56万元，下降46.34%，主要原因是：本年减少专用设备购置、办公经费，导致公用经费减少。</w:t>
      </w:r>
    </w:p>
    <w:p w14:paraId="6AEFFAE8">
      <w:pPr>
        <w:spacing w:line="640" w:lineRule="exact"/>
        <w:ind w:firstLine="640"/>
        <w:jc w:val="both"/>
        <w:outlineLvl w:val="3"/>
      </w:pPr>
      <w:r>
        <w:rPr>
          <w:rFonts w:ascii="楷体_GB2312" w:hAnsi="楷体_GB2312" w:eastAsia="楷体_GB2312"/>
          <w:b/>
          <w:sz w:val="32"/>
        </w:rPr>
        <w:t>（二）政府采购情况</w:t>
      </w:r>
    </w:p>
    <w:p w14:paraId="297546AB">
      <w:pPr>
        <w:spacing w:line="580" w:lineRule="exact"/>
        <w:ind w:firstLine="640"/>
        <w:jc w:val="both"/>
      </w:pPr>
      <w:r>
        <w:rPr>
          <w:rFonts w:ascii="仿宋_GB2312" w:hAnsi="仿宋_GB2312" w:eastAsia="仿宋_GB2312"/>
          <w:b w:val="0"/>
          <w:sz w:val="32"/>
        </w:rPr>
        <w:t>2024年度政府采购支出总额205.29万元，其中：政府采购货物支出159.72万元、政府采购工程支出3.57万元、政府采购服务支出42.00万元。</w:t>
      </w:r>
    </w:p>
    <w:p w14:paraId="2A30746A">
      <w:pPr>
        <w:spacing w:line="580" w:lineRule="exact"/>
        <w:ind w:firstLine="640"/>
        <w:jc w:val="both"/>
      </w:pPr>
      <w:r>
        <w:rPr>
          <w:rFonts w:ascii="仿宋_GB2312" w:hAnsi="仿宋_GB2312" w:eastAsia="仿宋_GB2312"/>
          <w:b w:val="0"/>
          <w:sz w:val="32"/>
        </w:rPr>
        <w:t>授予中小企业合同金额205.29万元，占政府采购支出总额的100.00%，其中：授予小微企业合同金额198.47万元，占政府采购支出总额的96.68%。</w:t>
      </w:r>
    </w:p>
    <w:p w14:paraId="4DCA90DC">
      <w:pPr>
        <w:spacing w:line="640" w:lineRule="exact"/>
        <w:ind w:firstLine="640"/>
        <w:jc w:val="both"/>
        <w:outlineLvl w:val="3"/>
      </w:pPr>
      <w:r>
        <w:rPr>
          <w:rFonts w:ascii="楷体_GB2312" w:hAnsi="楷体_GB2312" w:eastAsia="楷体_GB2312"/>
          <w:b/>
          <w:sz w:val="32"/>
        </w:rPr>
        <w:t>（三）国有资产占用情况说明</w:t>
      </w:r>
    </w:p>
    <w:p w14:paraId="149F1B3F">
      <w:pPr>
        <w:spacing w:line="580" w:lineRule="exact"/>
        <w:ind w:firstLine="640"/>
        <w:jc w:val="both"/>
      </w:pPr>
      <w:r>
        <w:rPr>
          <w:rFonts w:ascii="仿宋_GB2312" w:hAnsi="仿宋_GB2312" w:eastAsia="仿宋_GB2312"/>
          <w:b w:val="0"/>
          <w:sz w:val="32"/>
        </w:rPr>
        <w:t>截至2024年12月31日，房屋30.00平方米，价值3.00万元。车辆1辆，价值17.33万元，其中：副部（省）级及以上领导用车0辆、主要负责人用车0辆、机要通信用车0辆、应急保障用车1辆、执法执勤用车0辆、特种专业技术用车0辆、离退休干部服务用车0辆、其他用车0辆，其他用车主要是：本单位无其他用车。单价100万元（含）以上设备（不含车辆）0台（套）。</w:t>
      </w:r>
    </w:p>
    <w:p w14:paraId="15E5358D">
      <w:pPr>
        <w:spacing w:line="640" w:lineRule="exact"/>
        <w:ind w:firstLine="640"/>
        <w:jc w:val="both"/>
        <w:outlineLvl w:val="2"/>
      </w:pPr>
      <w:r>
        <w:rPr>
          <w:rFonts w:ascii="黑体" w:hAnsi="黑体" w:eastAsia="黑体"/>
          <w:sz w:val="32"/>
        </w:rPr>
        <w:t>十一、预算绩效的情况说明</w:t>
      </w:r>
    </w:p>
    <w:p w14:paraId="31AEF175">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2,016.97万元，实际执行总额1,246.55万元；预算绩效评价项目1个，全年预算数180.00万元，全年执行数0.00万元。预算绩效管理取得的成效：开展绩效评价，提高了绩效工作管理水平，科学制定目标，促进了绩效目标顺利实现，提高了项目资金使用的绩效意识，以便项目实施完成，进行跟踪问效评价，对下一年此类项目预算编制提供参考。发现的问题及原因：一是存在的问题财政绩效管理有待提高。相关绩效管理方面专业知识的系统性学习有待加强。二是原因分析按照财政支出绩效管理的要求，建立科学的财政资金效益考评制度体系，不断完善绩效评价的评价体系及工作流程，提高财政资金使用管理的水平和效率。对预算绩效管理、绩效理念尚未真正贯穿于实践工作，相关工作人员经验不足，绩效管理</w:t>
      </w:r>
      <w:r>
        <w:rPr>
          <w:rFonts w:hint="eastAsia" w:ascii="仿宋_GB2312" w:hAnsi="仿宋_GB2312" w:eastAsia="仿宋_GB2312"/>
          <w:b w:val="0"/>
          <w:sz w:val="32"/>
          <w:lang w:eastAsia="zh-CN"/>
        </w:rPr>
        <w:t>意识不强</w:t>
      </w:r>
      <w:r>
        <w:rPr>
          <w:rFonts w:ascii="仿宋_GB2312" w:hAnsi="仿宋_GB2312" w:eastAsia="仿宋_GB2312"/>
          <w:b w:val="0"/>
          <w:sz w:val="32"/>
        </w:rPr>
        <w:t>，对于指标的编制还不够完善。评价工作还存在自我审定的局限性，影响评价质量。下一步改进措施：一是加强学习，提高对绩效管理的认识，提高对绩效管理的重视度，对相关人员进行培训与宣传，树立事前、事中、事后全过程的监督评价机制。二是建立明确的绩效管理计划，绩效计划应对执行绩效管理作出深入细致的规划，保证各个环节有人负责，保证整个绩效管理过程可以追踪和考核。具体附整体支出绩效自评表，项目支出绩效自评表和评价报告。</w:t>
      </w:r>
    </w:p>
    <w:p w14:paraId="245B06C9">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5BF49915">
        <w:tblPrEx>
          <w:tblCellMar>
            <w:top w:w="0" w:type="dxa"/>
            <w:left w:w="108" w:type="dxa"/>
            <w:bottom w:w="0" w:type="dxa"/>
            <w:right w:w="108" w:type="dxa"/>
          </w:tblCellMar>
        </w:tblPrEx>
        <w:tc>
          <w:tcPr>
            <w:tcW w:w="8840" w:type="dxa"/>
            <w:gridSpan w:val="8"/>
            <w:vAlign w:val="center"/>
          </w:tcPr>
          <w:p w14:paraId="345BEC5B">
            <w:pPr>
              <w:jc w:val="center"/>
            </w:pPr>
            <w:r>
              <w:rPr>
                <w:rFonts w:ascii="宋体" w:hAnsi="宋体" w:eastAsia="宋体"/>
                <w:sz w:val="24"/>
              </w:rPr>
              <w:t>单位整体支出绩效自评表</w:t>
            </w:r>
          </w:p>
        </w:tc>
      </w:tr>
      <w:tr w14:paraId="7234F7F0">
        <w:tblPrEx>
          <w:tblCellMar>
            <w:top w:w="0" w:type="dxa"/>
            <w:left w:w="108" w:type="dxa"/>
            <w:bottom w:w="0" w:type="dxa"/>
            <w:right w:w="108" w:type="dxa"/>
          </w:tblCellMar>
        </w:tblPrEx>
        <w:tc>
          <w:tcPr>
            <w:tcW w:w="8840" w:type="dxa"/>
            <w:gridSpan w:val="8"/>
            <w:vAlign w:val="center"/>
          </w:tcPr>
          <w:p w14:paraId="6E4AFA0C">
            <w:pPr>
              <w:jc w:val="center"/>
            </w:pPr>
            <w:r>
              <w:rPr>
                <w:rFonts w:ascii="宋体" w:hAnsi="宋体" w:eastAsia="宋体"/>
                <w:sz w:val="24"/>
              </w:rPr>
              <w:t>（2024年度）</w:t>
            </w:r>
          </w:p>
        </w:tc>
      </w:tr>
      <w:tr w14:paraId="1BE253D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21CAC3">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40A683">
            <w:pPr>
              <w:jc w:val="center"/>
            </w:pPr>
            <w:r>
              <w:rPr>
                <w:rFonts w:ascii="宋体" w:hAnsi="宋体" w:eastAsia="宋体"/>
                <w:sz w:val="16"/>
              </w:rPr>
              <w:t>阿图什市技工学校</w:t>
            </w:r>
          </w:p>
        </w:tc>
      </w:tr>
      <w:tr w14:paraId="6088491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D8D156">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FF2DA9">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636E8E">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95A6F7">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3F58E6">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1F384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5C3AB1">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A4D86C">
            <w:pPr>
              <w:jc w:val="center"/>
            </w:pPr>
            <w:r>
              <w:rPr>
                <w:rFonts w:ascii="宋体" w:hAnsi="宋体" w:eastAsia="宋体"/>
                <w:sz w:val="16"/>
              </w:rPr>
              <w:t>得分</w:t>
            </w:r>
          </w:p>
        </w:tc>
      </w:tr>
      <w:tr w14:paraId="58513D8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668241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A94EAD">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05D3AC">
            <w:pPr>
              <w:jc w:val="center"/>
            </w:pPr>
            <w:r>
              <w:rPr>
                <w:rFonts w:ascii="宋体" w:hAnsi="宋体" w:eastAsia="宋体"/>
                <w:sz w:val="16"/>
              </w:rPr>
              <w:t>505.22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5FA4DD">
            <w:pPr>
              <w:jc w:val="center"/>
            </w:pPr>
            <w:r>
              <w:rPr>
                <w:rFonts w:ascii="宋体" w:hAnsi="宋体" w:eastAsia="宋体"/>
                <w:sz w:val="16"/>
              </w:rPr>
              <w:t>2,016.97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89B535">
            <w:pPr>
              <w:jc w:val="center"/>
            </w:pPr>
            <w:r>
              <w:rPr>
                <w:rFonts w:ascii="宋体" w:hAnsi="宋体" w:eastAsia="宋体"/>
                <w:sz w:val="16"/>
              </w:rPr>
              <w:t>1,246.55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B8575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1BAFB7">
            <w:pPr>
              <w:jc w:val="center"/>
            </w:pPr>
            <w:r>
              <w:rPr>
                <w:rFonts w:ascii="宋体" w:hAnsi="宋体" w:eastAsia="宋体"/>
                <w:sz w:val="16"/>
              </w:rPr>
              <w:t>61.80%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51D83E">
            <w:pPr>
              <w:jc w:val="center"/>
            </w:pPr>
            <w:r>
              <w:rPr>
                <w:rFonts w:hint="eastAsia" w:ascii="宋体" w:hAnsi="宋体" w:eastAsia="宋体"/>
                <w:sz w:val="16"/>
              </w:rPr>
              <w:t>6.2</w:t>
            </w:r>
          </w:p>
        </w:tc>
      </w:tr>
      <w:tr w14:paraId="0717F6E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01B900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4BAA72">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E121B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91942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D3F4B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82096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4F031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B2857B">
            <w:pPr>
              <w:jc w:val="center"/>
            </w:pPr>
            <w:r>
              <w:rPr>
                <w:rFonts w:ascii="宋体" w:hAnsi="宋体" w:eastAsia="宋体"/>
                <w:sz w:val="16"/>
              </w:rPr>
              <w:t>—</w:t>
            </w:r>
          </w:p>
        </w:tc>
      </w:tr>
      <w:tr w14:paraId="5E9059A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350C05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C20530">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C9475B">
            <w:pPr>
              <w:jc w:val="center"/>
            </w:pPr>
            <w:r>
              <w:rPr>
                <w:rFonts w:ascii="宋体" w:hAnsi="宋体" w:eastAsia="宋体"/>
                <w:sz w:val="16"/>
              </w:rPr>
              <w:t>505.22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0B0B63">
            <w:pPr>
              <w:jc w:val="center"/>
            </w:pPr>
            <w:r>
              <w:rPr>
                <w:rFonts w:ascii="宋体" w:hAnsi="宋体" w:eastAsia="宋体"/>
                <w:sz w:val="16"/>
              </w:rPr>
              <w:t>2,016.97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2E7B99">
            <w:pPr>
              <w:jc w:val="center"/>
            </w:pPr>
            <w:r>
              <w:rPr>
                <w:rFonts w:ascii="宋体" w:hAnsi="宋体" w:eastAsia="宋体"/>
                <w:sz w:val="16"/>
              </w:rPr>
              <w:t>1,246.55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8DA96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47536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5BE6E0">
            <w:pPr>
              <w:jc w:val="center"/>
            </w:pPr>
            <w:r>
              <w:rPr>
                <w:rFonts w:ascii="宋体" w:hAnsi="宋体" w:eastAsia="宋体"/>
                <w:sz w:val="16"/>
              </w:rPr>
              <w:t>—</w:t>
            </w:r>
          </w:p>
        </w:tc>
      </w:tr>
      <w:tr w14:paraId="4E93E39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B51574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5AF18A">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040D1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8BBD4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7BB67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593BD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D9822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A7459B">
            <w:pPr>
              <w:jc w:val="center"/>
            </w:pPr>
            <w:r>
              <w:rPr>
                <w:rFonts w:ascii="宋体" w:hAnsi="宋体" w:eastAsia="宋体"/>
                <w:sz w:val="16"/>
              </w:rPr>
              <w:t>—</w:t>
            </w:r>
          </w:p>
        </w:tc>
      </w:tr>
      <w:tr w14:paraId="468046E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EE5EFA">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9CB0E5B">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7395886">
            <w:pPr>
              <w:jc w:val="center"/>
            </w:pPr>
            <w:r>
              <w:rPr>
                <w:rFonts w:ascii="宋体" w:hAnsi="宋体" w:eastAsia="宋体"/>
                <w:sz w:val="16"/>
              </w:rPr>
              <w:t>实际完成情况</w:t>
            </w:r>
          </w:p>
        </w:tc>
      </w:tr>
      <w:tr w14:paraId="0194734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242581B"/>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937F4C9">
            <w:pPr>
              <w:jc w:val="both"/>
            </w:pPr>
            <w:r>
              <w:rPr>
                <w:rFonts w:ascii="宋体" w:hAnsi="宋体" w:eastAsia="宋体"/>
                <w:sz w:val="16"/>
              </w:rPr>
              <w:t>单位基本职能：阿图什市技工学校为阿图什市农牧民科普培训基地；学校采 取“校校合作+校企合作”的办学模式，根据用人企业的用工需 求开展“订单式”“定向式”“定岗式”培训。</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机构设置及人员配置：无下属预算单位，下设5个科室，编制数30，实有人数28人，在职28人。</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中长期规划：开展基本劳动力素质培训、对失业和转岗人员组织参加新技能培训、城乡劳动力就业技能等培训。</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   保障技工学校教学楼、12栋实训室、2栋公寓楼基础设施设备完善健全，校园绿化管网维修工作正常开展。保障单位预算项目按计划实施，便于开展检查指导学习各级各类学校工作，积极开展校园文化建设，培养学生身心全面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FB0A954">
            <w:pPr>
              <w:jc w:val="both"/>
            </w:pPr>
            <w:r>
              <w:rPr>
                <w:rFonts w:ascii="宋体" w:hAnsi="宋体" w:eastAsia="宋体"/>
                <w:sz w:val="16"/>
              </w:rPr>
              <w:t>本单位共计支出1246.55万元，用于保障部门在职28人的工资福利、各项补助正常发放及部门单位正常运转，单位预算项目根据年初计划均已完成，开展检查指导学习各级各类学校工作，积极开展校园文化建设，培养学生身心全面发展，年度任务中完成参加培训学生人数7200人，开设培训工种30个等目标。</w:t>
            </w:r>
          </w:p>
        </w:tc>
      </w:tr>
      <w:tr w14:paraId="59F6008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2DFCA9">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9A3976">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898344">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6D2970">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386481">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2C6323">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0B9286">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4BF860">
            <w:pPr>
              <w:jc w:val="center"/>
            </w:pPr>
            <w:r>
              <w:rPr>
                <w:rFonts w:ascii="宋体" w:hAnsi="宋体" w:eastAsia="宋体"/>
                <w:sz w:val="16"/>
              </w:rPr>
              <w:t>得分</w:t>
            </w:r>
          </w:p>
        </w:tc>
      </w:tr>
      <w:tr w14:paraId="656E965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410A9A">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2A870E">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A30F51">
            <w:pPr>
              <w:jc w:val="center"/>
            </w:pPr>
            <w:r>
              <w:rPr>
                <w:rFonts w:ascii="宋体" w:hAnsi="宋体" w:eastAsia="宋体"/>
                <w:sz w:val="16"/>
              </w:rPr>
              <w:t>计划参加培训学生人数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B2CA6E">
            <w:pPr>
              <w:jc w:val="center"/>
            </w:pPr>
            <w:r>
              <w:rPr>
                <w:rFonts w:ascii="宋体" w:hAnsi="宋体" w:eastAsia="宋体"/>
                <w:sz w:val="16"/>
              </w:rPr>
              <w:t>&gt;=7200人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BB7D5E">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6854C4">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2B24CD">
            <w:pPr>
              <w:jc w:val="center"/>
            </w:pPr>
            <w:r>
              <w:rPr>
                <w:rFonts w:ascii="宋体" w:hAnsi="宋体" w:eastAsia="宋体"/>
                <w:sz w:val="16"/>
              </w:rPr>
              <w:t>7200人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1C81FC">
            <w:pPr>
              <w:jc w:val="center"/>
            </w:pPr>
            <w:r>
              <w:rPr>
                <w:rFonts w:ascii="宋体" w:hAnsi="宋体" w:eastAsia="宋体"/>
                <w:sz w:val="16"/>
              </w:rPr>
              <w:t>18</w:t>
            </w:r>
          </w:p>
        </w:tc>
      </w:tr>
      <w:tr w14:paraId="7BF405E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A903DD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4522F1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B9CB3A">
            <w:pPr>
              <w:jc w:val="center"/>
            </w:pPr>
            <w:r>
              <w:rPr>
                <w:rFonts w:ascii="宋体" w:hAnsi="宋体" w:eastAsia="宋体"/>
                <w:sz w:val="16"/>
              </w:rPr>
              <w:t>开设培训工种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FAD68F">
            <w:pPr>
              <w:jc w:val="center"/>
            </w:pPr>
            <w:r>
              <w:rPr>
                <w:rFonts w:ascii="宋体" w:hAnsi="宋体" w:eastAsia="宋体"/>
                <w:sz w:val="16"/>
              </w:rPr>
              <w:t>&gt;=25个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120E97">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71C4B3">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52AA86">
            <w:pPr>
              <w:jc w:val="center"/>
            </w:pPr>
            <w:r>
              <w:rPr>
                <w:rFonts w:ascii="宋体" w:hAnsi="宋体" w:eastAsia="宋体"/>
                <w:sz w:val="16"/>
              </w:rPr>
              <w:t>30个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D4085C">
            <w:pPr>
              <w:jc w:val="center"/>
            </w:pPr>
            <w:r>
              <w:rPr>
                <w:rFonts w:ascii="宋体" w:hAnsi="宋体" w:eastAsia="宋体"/>
                <w:sz w:val="16"/>
              </w:rPr>
              <w:t>18</w:t>
            </w:r>
          </w:p>
        </w:tc>
      </w:tr>
      <w:tr w14:paraId="3BD5E1F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3690A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2E49C6">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E2EA67">
            <w:pPr>
              <w:jc w:val="center"/>
            </w:pPr>
            <w:r>
              <w:rPr>
                <w:rFonts w:ascii="宋体" w:hAnsi="宋体" w:eastAsia="宋体"/>
                <w:sz w:val="16"/>
              </w:rPr>
              <w:t>培训合格率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5F5954">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D98214">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9CF38D">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6EBBFB">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44DEF2">
            <w:pPr>
              <w:jc w:val="center"/>
            </w:pPr>
            <w:r>
              <w:rPr>
                <w:rFonts w:ascii="宋体" w:hAnsi="宋体" w:eastAsia="宋体"/>
                <w:sz w:val="16"/>
              </w:rPr>
              <w:t>18</w:t>
            </w:r>
          </w:p>
        </w:tc>
      </w:tr>
      <w:tr w14:paraId="44B3999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9AD75D">
            <w:pPr>
              <w:jc w:val="center"/>
            </w:pPr>
            <w:r>
              <w:rPr>
                <w:rFonts w:ascii="宋体" w:hAnsi="宋体" w:eastAsia="宋体"/>
                <w:sz w:val="16"/>
              </w:rPr>
              <w:t>社会效益</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ECF557">
            <w:pPr>
              <w:jc w:val="center"/>
            </w:pPr>
            <w:r>
              <w:rPr>
                <w:rFonts w:ascii="宋体" w:hAnsi="宋体" w:eastAsia="宋体"/>
                <w:sz w:val="16"/>
              </w:rPr>
              <w:t>社会效益指标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3C6F19">
            <w:pPr>
              <w:jc w:val="center"/>
            </w:pPr>
            <w:r>
              <w:rPr>
                <w:rFonts w:ascii="宋体" w:hAnsi="宋体" w:eastAsia="宋体"/>
                <w:sz w:val="16"/>
              </w:rPr>
              <w:t>保障校舍场馆正常使用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F7AFB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108D49">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B614B5">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A41A1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D339B4">
            <w:pPr>
              <w:jc w:val="center"/>
            </w:pPr>
            <w:r>
              <w:rPr>
                <w:rFonts w:ascii="宋体" w:hAnsi="宋体" w:eastAsia="宋体"/>
                <w:sz w:val="16"/>
              </w:rPr>
              <w:t>18</w:t>
            </w:r>
          </w:p>
        </w:tc>
      </w:tr>
      <w:tr w14:paraId="1CEF60C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4D6650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EFDA6F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D92D3B">
            <w:pPr>
              <w:jc w:val="center"/>
            </w:pPr>
            <w:r>
              <w:rPr>
                <w:rFonts w:ascii="宋体" w:hAnsi="宋体" w:eastAsia="宋体"/>
                <w:sz w:val="16"/>
              </w:rPr>
              <w:t>毕业学生就业率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416C00">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8EDD6F">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F37B23">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5DC86D">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42FE76">
            <w:pPr>
              <w:jc w:val="center"/>
            </w:pPr>
            <w:r>
              <w:rPr>
                <w:rFonts w:ascii="宋体" w:hAnsi="宋体" w:eastAsia="宋体"/>
                <w:sz w:val="16"/>
              </w:rPr>
              <w:t>18</w:t>
            </w:r>
          </w:p>
        </w:tc>
      </w:tr>
    </w:tbl>
    <w:p w14:paraId="71C0585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EB979E3">
        <w:tblPrEx>
          <w:tblCellMar>
            <w:top w:w="0" w:type="dxa"/>
            <w:left w:w="108" w:type="dxa"/>
            <w:bottom w:w="0" w:type="dxa"/>
            <w:right w:w="108" w:type="dxa"/>
          </w:tblCellMar>
        </w:tblPrEx>
        <w:tc>
          <w:tcPr>
            <w:tcW w:w="8848" w:type="dxa"/>
            <w:gridSpan w:val="14"/>
            <w:vAlign w:val="center"/>
          </w:tcPr>
          <w:p w14:paraId="6D1D13DA">
            <w:pPr>
              <w:jc w:val="center"/>
            </w:pPr>
            <w:r>
              <w:rPr>
                <w:rFonts w:ascii="宋体" w:hAnsi="宋体" w:eastAsia="宋体"/>
                <w:sz w:val="24"/>
              </w:rPr>
              <w:t>项目支出绩效自评表</w:t>
            </w:r>
          </w:p>
        </w:tc>
      </w:tr>
      <w:tr w14:paraId="7C282F13">
        <w:tblPrEx>
          <w:tblCellMar>
            <w:top w:w="0" w:type="dxa"/>
            <w:left w:w="108" w:type="dxa"/>
            <w:bottom w:w="0" w:type="dxa"/>
            <w:right w:w="108" w:type="dxa"/>
          </w:tblCellMar>
        </w:tblPrEx>
        <w:tc>
          <w:tcPr>
            <w:tcW w:w="8848" w:type="dxa"/>
            <w:gridSpan w:val="14"/>
            <w:vAlign w:val="center"/>
          </w:tcPr>
          <w:p w14:paraId="551A0422">
            <w:pPr>
              <w:jc w:val="center"/>
            </w:pPr>
            <w:r>
              <w:rPr>
                <w:rFonts w:ascii="宋体" w:hAnsi="宋体" w:eastAsia="宋体"/>
                <w:sz w:val="24"/>
              </w:rPr>
              <w:t>(2024年度)</w:t>
            </w:r>
          </w:p>
        </w:tc>
      </w:tr>
      <w:tr w14:paraId="0F7B1AC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86B0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035C5DF">
            <w:pPr>
              <w:jc w:val="center"/>
            </w:pPr>
            <w:r>
              <w:rPr>
                <w:rFonts w:ascii="宋体" w:hAnsi="宋体" w:eastAsia="宋体"/>
                <w:sz w:val="16"/>
              </w:rPr>
              <w:t>技工学校教学楼、实训室、公寓楼维修项目</w:t>
            </w:r>
          </w:p>
        </w:tc>
      </w:tr>
      <w:tr w14:paraId="6389F63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BBAD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795789">
            <w:pPr>
              <w:jc w:val="center"/>
            </w:pPr>
            <w:r>
              <w:rPr>
                <w:rFonts w:ascii="宋体" w:hAnsi="宋体" w:eastAsia="宋体"/>
                <w:sz w:val="16"/>
              </w:rPr>
              <w:t>阿图什市技工学校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B09F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B738F8">
            <w:pPr>
              <w:jc w:val="center"/>
            </w:pPr>
            <w:r>
              <w:rPr>
                <w:rFonts w:ascii="宋体" w:hAnsi="宋体" w:eastAsia="宋体"/>
                <w:sz w:val="16"/>
              </w:rPr>
              <w:t>阿图什市技工学校</w:t>
            </w:r>
          </w:p>
        </w:tc>
      </w:tr>
      <w:tr w14:paraId="5723E6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7132C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F36D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7F1C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C9F8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C443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0F9A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BCC08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B2568">
            <w:pPr>
              <w:jc w:val="center"/>
            </w:pPr>
            <w:r>
              <w:rPr>
                <w:rFonts w:ascii="宋体" w:hAnsi="宋体" w:eastAsia="宋体"/>
                <w:sz w:val="16"/>
              </w:rPr>
              <w:t>得分</w:t>
            </w:r>
          </w:p>
        </w:tc>
      </w:tr>
      <w:tr w14:paraId="5C1E59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A7CEB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3C31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1A978">
            <w:pPr>
              <w:jc w:val="center"/>
            </w:pPr>
            <w:r>
              <w:rPr>
                <w:rFonts w:ascii="宋体" w:hAnsi="宋体" w:eastAsia="宋体"/>
                <w:sz w:val="16"/>
              </w:rPr>
              <w:t>180.00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CA996">
            <w:pPr>
              <w:jc w:val="center"/>
            </w:pPr>
            <w:r>
              <w:rPr>
                <w:rFonts w:ascii="宋体" w:hAnsi="宋体" w:eastAsia="宋体"/>
                <w:sz w:val="16"/>
              </w:rPr>
              <w:t>180.00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6E5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677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599C8">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5BD93">
            <w:pPr>
              <w:jc w:val="center"/>
            </w:pPr>
            <w:r>
              <w:rPr>
                <w:rFonts w:ascii="宋体" w:hAnsi="宋体" w:eastAsia="宋体"/>
                <w:sz w:val="16"/>
              </w:rPr>
              <w:t>0.00分</w:t>
            </w:r>
          </w:p>
        </w:tc>
      </w:tr>
      <w:tr w14:paraId="10B6ED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166CC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D7A4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ED00C">
            <w:pPr>
              <w:jc w:val="center"/>
            </w:pPr>
            <w:r>
              <w:rPr>
                <w:rFonts w:ascii="宋体" w:hAnsi="宋体" w:eastAsia="宋体"/>
                <w:sz w:val="16"/>
              </w:rPr>
              <w:t>180.00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A0830">
            <w:pPr>
              <w:jc w:val="center"/>
            </w:pPr>
            <w:r>
              <w:rPr>
                <w:rFonts w:ascii="宋体" w:hAnsi="宋体" w:eastAsia="宋体"/>
                <w:sz w:val="16"/>
              </w:rPr>
              <w:t>180.00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ED34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1DA1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437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D24F9">
            <w:pPr>
              <w:jc w:val="center"/>
            </w:pPr>
            <w:r>
              <w:rPr>
                <w:rFonts w:ascii="宋体" w:hAnsi="宋体" w:eastAsia="宋体"/>
                <w:sz w:val="16"/>
              </w:rPr>
              <w:t>—</w:t>
            </w:r>
          </w:p>
        </w:tc>
      </w:tr>
      <w:tr w14:paraId="1AEA89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471A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4017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724A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F805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B210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2FA7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B3D3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18C3D">
            <w:pPr>
              <w:jc w:val="center"/>
            </w:pPr>
            <w:r>
              <w:rPr>
                <w:rFonts w:ascii="宋体" w:hAnsi="宋体" w:eastAsia="宋体"/>
                <w:sz w:val="16"/>
              </w:rPr>
              <w:t>—</w:t>
            </w:r>
          </w:p>
        </w:tc>
      </w:tr>
      <w:tr w14:paraId="390AA5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D3B57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2A10A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1977F2">
            <w:pPr>
              <w:jc w:val="center"/>
            </w:pPr>
            <w:r>
              <w:rPr>
                <w:rFonts w:ascii="宋体" w:hAnsi="宋体" w:eastAsia="宋体"/>
                <w:sz w:val="16"/>
              </w:rPr>
              <w:t>实际完成情况</w:t>
            </w:r>
          </w:p>
        </w:tc>
      </w:tr>
      <w:tr w14:paraId="5779C4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C64C3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03B94B">
            <w:pPr>
              <w:jc w:val="both"/>
            </w:pPr>
            <w:r>
              <w:rPr>
                <w:rFonts w:ascii="宋体" w:hAnsi="宋体" w:eastAsia="宋体"/>
                <w:sz w:val="16"/>
              </w:rPr>
              <w:t>根据自治区《关于办好县级技工学校的意见</w:t>
            </w:r>
            <w:r>
              <w:rPr>
                <w:rFonts w:hint="eastAsia" w:ascii="宋体" w:hAnsi="宋体"/>
                <w:sz w:val="16"/>
                <w:lang w:eastAsia="zh-CN"/>
              </w:rPr>
              <w:t>》《</w:t>
            </w:r>
            <w:r>
              <w:rPr>
                <w:rFonts w:ascii="宋体" w:hAnsi="宋体" w:eastAsia="宋体"/>
                <w:sz w:val="16"/>
              </w:rPr>
              <w:t>新疆维吾尔自治区技工教育“十四五”规划</w:t>
            </w:r>
            <w:r>
              <w:rPr>
                <w:rFonts w:hint="eastAsia" w:ascii="宋体" w:hAnsi="宋体"/>
                <w:sz w:val="16"/>
                <w:lang w:eastAsia="zh-CN"/>
              </w:rPr>
              <w:t>》《</w:t>
            </w:r>
            <w:r>
              <w:rPr>
                <w:rFonts w:ascii="宋体" w:hAnsi="宋体" w:eastAsia="宋体"/>
                <w:sz w:val="16"/>
              </w:rPr>
              <w:t>自治州关于办好县级技工学校实施方案</w:t>
            </w:r>
            <w:r>
              <w:rPr>
                <w:rFonts w:hint="eastAsia" w:ascii="宋体" w:hAnsi="宋体"/>
                <w:sz w:val="16"/>
                <w:lang w:eastAsia="zh-CN"/>
              </w:rPr>
              <w:t>》《</w:t>
            </w:r>
            <w:r>
              <w:rPr>
                <w:rFonts w:ascii="宋体" w:hAnsi="宋体" w:eastAsia="宋体"/>
                <w:sz w:val="16"/>
              </w:rPr>
              <w:t>关于成立阿图什市技工学校的通知（阿党编字</w:t>
            </w:r>
            <w:r>
              <w:rPr>
                <w:rFonts w:hint="eastAsia" w:ascii="宋体" w:hAnsi="宋体"/>
                <w:sz w:val="16"/>
                <w:lang w:eastAsia="zh-CN"/>
              </w:rPr>
              <w:t>〔</w:t>
            </w:r>
            <w:r>
              <w:rPr>
                <w:rFonts w:ascii="宋体" w:hAnsi="宋体" w:eastAsia="宋体"/>
                <w:sz w:val="16"/>
              </w:rPr>
              <w:t>2019</w:t>
            </w:r>
            <w:r>
              <w:rPr>
                <w:rFonts w:hint="eastAsia" w:ascii="宋体" w:hAnsi="宋体"/>
                <w:sz w:val="16"/>
                <w:lang w:eastAsia="zh-CN"/>
              </w:rPr>
              <w:t>〕</w:t>
            </w:r>
            <w:r>
              <w:rPr>
                <w:rFonts w:ascii="宋体" w:hAnsi="宋体" w:eastAsia="宋体"/>
                <w:sz w:val="16"/>
              </w:rPr>
              <w:t>11号）》，项目安排资金180万元，用于修缮1栋教学楼、修缮14栋实训室、修缮2栋公寓楼、购买铁架高低床300套、购买办公桌椅50套、保障2024年水电费等；通过项目的实施有效提高农牧民职业技能水平，促进就业增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86A907">
            <w:pPr>
              <w:jc w:val="both"/>
            </w:pPr>
            <w:r>
              <w:rPr>
                <w:rFonts w:ascii="宋体" w:hAnsi="宋体" w:eastAsia="宋体"/>
                <w:sz w:val="16"/>
              </w:rPr>
              <w:t>本项目已完成修缮1栋教学楼、修缮14栋实训室、修缮2栋公寓楼，保障2024年水电费，因部分支出资料不齐全，资金未拨付；通过实施本项目有效提高农牧民职业技能水平，促进就业增收。</w:t>
            </w:r>
            <w:r>
              <w:rPr>
                <w:rFonts w:ascii="宋体" w:hAnsi="宋体" w:eastAsia="宋体"/>
                <w:sz w:val="16"/>
              </w:rPr>
              <w:br w:type="textWrapping"/>
            </w:r>
          </w:p>
        </w:tc>
      </w:tr>
      <w:tr w14:paraId="2FB5C1B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47F5E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2A63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6BF4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D01A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920E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8FD2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7968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C2E2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B523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9FF4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42D4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5B48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334C6">
            <w:pPr>
              <w:jc w:val="center"/>
            </w:pPr>
            <w:r>
              <w:rPr>
                <w:rFonts w:ascii="宋体" w:hAnsi="宋体" w:eastAsia="宋体"/>
                <w:sz w:val="16"/>
              </w:rPr>
              <w:t>偏差原因分析及改进措施</w:t>
            </w:r>
          </w:p>
        </w:tc>
      </w:tr>
      <w:tr w14:paraId="268F66F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E94A5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B2D7D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69463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197BC">
            <w:pPr>
              <w:jc w:val="center"/>
            </w:pPr>
            <w:r>
              <w:rPr>
                <w:rFonts w:ascii="宋体" w:hAnsi="宋体" w:eastAsia="宋体"/>
                <w:sz w:val="16"/>
              </w:rPr>
              <w:t>修缮教学楼数量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59441">
            <w:pPr>
              <w:jc w:val="center"/>
            </w:pPr>
            <w:r>
              <w:rPr>
                <w:rFonts w:ascii="宋体" w:hAnsi="宋体" w:eastAsia="宋体"/>
                <w:sz w:val="16"/>
              </w:rPr>
              <w:t>=1栋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70C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4CA7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2335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AF5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B9614">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BF733">
            <w:pPr>
              <w:jc w:val="center"/>
            </w:pPr>
            <w:r>
              <w:rPr>
                <w:rFonts w:ascii="宋体" w:hAnsi="宋体" w:eastAsia="宋体"/>
                <w:sz w:val="16"/>
              </w:rPr>
              <w:t>=1栋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C04B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BCA79">
            <w:pPr>
              <w:jc w:val="center"/>
            </w:pPr>
          </w:p>
        </w:tc>
      </w:tr>
      <w:tr w14:paraId="7CB243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6636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FB10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303D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F0A8C">
            <w:pPr>
              <w:jc w:val="center"/>
            </w:pPr>
            <w:r>
              <w:rPr>
                <w:rFonts w:ascii="宋体" w:hAnsi="宋体" w:eastAsia="宋体"/>
                <w:sz w:val="16"/>
              </w:rPr>
              <w:t>修缮实训室数量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71E12">
            <w:pPr>
              <w:jc w:val="center"/>
            </w:pPr>
            <w:r>
              <w:rPr>
                <w:rFonts w:ascii="宋体" w:hAnsi="宋体" w:eastAsia="宋体"/>
                <w:sz w:val="16"/>
              </w:rPr>
              <w:t>=14栋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E1D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BD5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F9B3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596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E4781">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FEE16">
            <w:pPr>
              <w:jc w:val="center"/>
            </w:pPr>
            <w:r>
              <w:rPr>
                <w:rFonts w:ascii="宋体" w:hAnsi="宋体" w:eastAsia="宋体"/>
                <w:sz w:val="16"/>
              </w:rPr>
              <w:t>=14栋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D98C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F0CED">
            <w:pPr>
              <w:jc w:val="center"/>
            </w:pPr>
          </w:p>
        </w:tc>
      </w:tr>
      <w:tr w14:paraId="5DB7D6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5F9C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FE55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1165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F886E">
            <w:pPr>
              <w:jc w:val="center"/>
            </w:pPr>
            <w:r>
              <w:rPr>
                <w:rFonts w:ascii="宋体" w:hAnsi="宋体" w:eastAsia="宋体"/>
                <w:sz w:val="16"/>
              </w:rPr>
              <w:t>修缮公寓楼数量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22F6A">
            <w:pPr>
              <w:jc w:val="center"/>
            </w:pPr>
            <w:r>
              <w:rPr>
                <w:rFonts w:ascii="宋体" w:hAnsi="宋体" w:eastAsia="宋体"/>
                <w:sz w:val="16"/>
              </w:rPr>
              <w:t>=2栋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188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D016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CEF5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5EE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2F55F">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B8E44">
            <w:pPr>
              <w:jc w:val="center"/>
            </w:pPr>
            <w:r>
              <w:rPr>
                <w:rFonts w:ascii="宋体" w:hAnsi="宋体" w:eastAsia="宋体"/>
                <w:sz w:val="16"/>
              </w:rPr>
              <w:t>=2栋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D5EF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18568">
            <w:pPr>
              <w:jc w:val="center"/>
            </w:pPr>
          </w:p>
        </w:tc>
      </w:tr>
      <w:tr w14:paraId="03D361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4D51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69B3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7C08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7E2BD">
            <w:pPr>
              <w:jc w:val="center"/>
            </w:pPr>
            <w:r>
              <w:rPr>
                <w:rFonts w:ascii="宋体" w:hAnsi="宋体" w:eastAsia="宋体"/>
                <w:sz w:val="16"/>
              </w:rPr>
              <w:t>购买铁架高低床数量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ECBCC">
            <w:pPr>
              <w:jc w:val="center"/>
            </w:pPr>
            <w:r>
              <w:rPr>
                <w:rFonts w:ascii="宋体" w:hAnsi="宋体" w:eastAsia="宋体"/>
                <w:sz w:val="16"/>
              </w:rPr>
              <w:t>&gt;=300套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DB9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B79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6A4F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426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B36EC">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DCC77">
            <w:pPr>
              <w:jc w:val="center"/>
            </w:pPr>
            <w:r>
              <w:rPr>
                <w:rFonts w:ascii="宋体" w:hAnsi="宋体" w:eastAsia="宋体"/>
                <w:sz w:val="16"/>
              </w:rPr>
              <w:t>=0套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FC4C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D0CA7">
            <w:pPr>
              <w:jc w:val="center"/>
            </w:pPr>
            <w:r>
              <w:rPr>
                <w:rFonts w:ascii="宋体" w:hAnsi="宋体" w:eastAsia="宋体"/>
                <w:sz w:val="16"/>
              </w:rPr>
              <w:t>原因：项目年初预算指标不够精准，导致指标存在偏差；措施：下一年度做好计划及项目管理，减少实施过程中的偏差；</w:t>
            </w:r>
          </w:p>
        </w:tc>
      </w:tr>
      <w:tr w14:paraId="3BD1A8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6B04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1540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81D3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1A656">
            <w:pPr>
              <w:jc w:val="center"/>
            </w:pPr>
            <w:r>
              <w:rPr>
                <w:rFonts w:ascii="宋体" w:hAnsi="宋体" w:eastAsia="宋体"/>
                <w:sz w:val="16"/>
              </w:rPr>
              <w:t>购买办公桌椅数量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20B15">
            <w:pPr>
              <w:jc w:val="center"/>
            </w:pPr>
            <w:r>
              <w:rPr>
                <w:rFonts w:ascii="宋体" w:hAnsi="宋体" w:eastAsia="宋体"/>
                <w:sz w:val="16"/>
              </w:rPr>
              <w:t>&gt;=50套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EA0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2EF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2681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1C8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597E5">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76C37">
            <w:pPr>
              <w:jc w:val="center"/>
            </w:pPr>
            <w:r>
              <w:rPr>
                <w:rFonts w:ascii="宋体" w:hAnsi="宋体" w:eastAsia="宋体"/>
                <w:sz w:val="16"/>
              </w:rPr>
              <w:t>=0套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4075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C1306">
            <w:pPr>
              <w:jc w:val="center"/>
            </w:pPr>
            <w:r>
              <w:rPr>
                <w:rFonts w:ascii="宋体" w:hAnsi="宋体" w:eastAsia="宋体"/>
                <w:sz w:val="16"/>
              </w:rPr>
              <w:t>原因：项目年初预算指标不够精准，导致指标存在偏差；措施：下一年度做好计划及项目管理，减少实施过程中的偏差；</w:t>
            </w:r>
          </w:p>
        </w:tc>
      </w:tr>
      <w:tr w14:paraId="554284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0ADC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D4E3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2A18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5E890">
            <w:pPr>
              <w:jc w:val="center"/>
            </w:pPr>
            <w:r>
              <w:rPr>
                <w:rFonts w:ascii="宋体" w:hAnsi="宋体" w:eastAsia="宋体"/>
                <w:sz w:val="16"/>
              </w:rPr>
              <w:t>维修楼验收合格率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8B4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F1E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11C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FDB7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D97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CA2E5">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715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2A0F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8FF77">
            <w:pPr>
              <w:jc w:val="center"/>
            </w:pPr>
          </w:p>
        </w:tc>
      </w:tr>
      <w:tr w14:paraId="35E807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69B5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1BD7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7D60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A8C43">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5E68E">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A4E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A59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4E75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14C6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36D0F">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0074E">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D626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5D68A">
            <w:pPr>
              <w:jc w:val="center"/>
            </w:pPr>
          </w:p>
        </w:tc>
      </w:tr>
      <w:tr w14:paraId="5818D8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DC87A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B5E75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C7742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F2D94">
            <w:pPr>
              <w:jc w:val="center"/>
            </w:pPr>
            <w:r>
              <w:rPr>
                <w:rFonts w:ascii="宋体" w:hAnsi="宋体" w:eastAsia="宋体"/>
                <w:sz w:val="16"/>
              </w:rPr>
              <w:t>修缮建筑楼成本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737EA">
            <w:pPr>
              <w:jc w:val="center"/>
            </w:pPr>
            <w:r>
              <w:rPr>
                <w:rFonts w:ascii="宋体" w:hAnsi="宋体" w:eastAsia="宋体"/>
                <w:sz w:val="16"/>
              </w:rPr>
              <w: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428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023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2D6C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775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C5532">
            <w:pPr>
              <w:jc w:val="center"/>
            </w:pPr>
            <w:r>
              <w:rPr>
                <w:rFonts w:ascii="宋体" w:hAnsi="宋体" w:eastAsia="宋体"/>
                <w:sz w:val="16"/>
              </w:rPr>
              <w:t>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3521D">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1111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10455">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499CA8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1CB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48E6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13E1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0AA3F">
            <w:pPr>
              <w:jc w:val="center"/>
            </w:pPr>
            <w:r>
              <w:rPr>
                <w:rFonts w:ascii="宋体" w:hAnsi="宋体" w:eastAsia="宋体"/>
                <w:sz w:val="16"/>
              </w:rPr>
              <w:t>购买铁架高低床成本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B1EF8">
            <w:pPr>
              <w:jc w:val="center"/>
            </w:pPr>
            <w:r>
              <w:rPr>
                <w:rFonts w:ascii="宋体" w:hAnsi="宋体" w:eastAsia="宋体"/>
                <w:sz w:val="16"/>
              </w:rPr>
              <w:t>&lt;=22万元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140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DDF1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0011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60E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03889">
            <w:pPr>
              <w:jc w:val="center"/>
            </w:pPr>
            <w:r>
              <w:rPr>
                <w:rFonts w:ascii="宋体" w:hAnsi="宋体" w:eastAsia="宋体"/>
                <w:sz w:val="16"/>
              </w:rPr>
              <w:t>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34396">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3E6C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B96A7">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39A1CB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57FF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88BF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85D4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6D6B7">
            <w:pPr>
              <w:jc w:val="center"/>
            </w:pPr>
            <w:r>
              <w:rPr>
                <w:rFonts w:ascii="宋体" w:hAnsi="宋体" w:eastAsia="宋体"/>
                <w:sz w:val="16"/>
              </w:rPr>
              <w:t>保障单位水电费成本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24145">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854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455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E69A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CC2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A3647">
            <w:pPr>
              <w:jc w:val="center"/>
            </w:pPr>
            <w:r>
              <w:rPr>
                <w:rFonts w:ascii="宋体" w:hAnsi="宋体" w:eastAsia="宋体"/>
                <w:sz w:val="16"/>
              </w:rPr>
              <w:t>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791B3">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C57D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2C9A1">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1F27BC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A822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1D55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6ACA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8F335">
            <w:pPr>
              <w:jc w:val="center"/>
            </w:pPr>
            <w:r>
              <w:rPr>
                <w:rFonts w:ascii="宋体" w:hAnsi="宋体" w:eastAsia="宋体"/>
                <w:sz w:val="16"/>
              </w:rPr>
              <w:t>购买办公桌椅成本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EB94D">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CF8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8B5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B291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530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83822">
            <w:pPr>
              <w:jc w:val="center"/>
            </w:pPr>
            <w:r>
              <w:rPr>
                <w:rFonts w:ascii="宋体" w:hAnsi="宋体" w:eastAsia="宋体"/>
                <w:sz w:val="16"/>
              </w:rPr>
              <w:t>说明材料,工作资料,原始凭证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FF804">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8C72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A2088">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05F406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D318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45CC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0C51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73951">
            <w:pPr>
              <w:jc w:val="center"/>
            </w:pPr>
            <w:r>
              <w:rPr>
                <w:rFonts w:ascii="宋体" w:hAnsi="宋体" w:eastAsia="宋体"/>
                <w:sz w:val="16"/>
              </w:rPr>
              <w:t>提高农牧民职业技能水平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05F9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DC6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DE3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1C44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BCC7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32DAF">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A550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92C1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3F733">
            <w:pPr>
              <w:jc w:val="center"/>
            </w:pPr>
          </w:p>
        </w:tc>
      </w:tr>
      <w:tr w14:paraId="55F803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7A7E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82D3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66C7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4E940">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76AC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17F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8AE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BF9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7C82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A978C">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8922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2000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23060">
            <w:pPr>
              <w:jc w:val="center"/>
            </w:pPr>
          </w:p>
        </w:tc>
      </w:tr>
      <w:tr w14:paraId="5F51B43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79EFC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D9F6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9020B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764A4">
            <w:pPr>
              <w:jc w:val="center"/>
            </w:pPr>
            <w:r>
              <w:rPr>
                <w:rFonts w:ascii="宋体" w:hAnsi="宋体" w:eastAsia="宋体"/>
                <w:sz w:val="16"/>
              </w:rPr>
              <w:t>58分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40E0EA4"/>
        </w:tc>
      </w:tr>
    </w:tbl>
    <w:p w14:paraId="0730E7E0">
      <w:r>
        <w:br w:type="page"/>
      </w:r>
    </w:p>
    <w:p w14:paraId="332D5EAF">
      <w:pPr>
        <w:spacing w:line="640" w:lineRule="exact"/>
        <w:ind w:firstLine="640"/>
        <w:jc w:val="both"/>
        <w:outlineLvl w:val="2"/>
      </w:pPr>
      <w:r>
        <w:rPr>
          <w:rFonts w:ascii="黑体" w:hAnsi="黑体" w:eastAsia="黑体"/>
          <w:sz w:val="32"/>
        </w:rPr>
        <w:t>十二、其他需说明的事项</w:t>
      </w:r>
    </w:p>
    <w:p w14:paraId="3D76FEE4">
      <w:pPr>
        <w:spacing w:line="580" w:lineRule="exact"/>
        <w:ind w:firstLine="640"/>
        <w:jc w:val="both"/>
      </w:pPr>
      <w:r>
        <w:rPr>
          <w:rFonts w:ascii="仿宋_GB2312" w:hAnsi="仿宋_GB2312" w:eastAsia="仿宋_GB2312"/>
          <w:b w:val="0"/>
          <w:sz w:val="32"/>
        </w:rPr>
        <w:t>本单位无其他需说明的事项。</w:t>
      </w:r>
    </w:p>
    <w:p w14:paraId="220BC093">
      <w:r>
        <w:br w:type="page"/>
      </w:r>
    </w:p>
    <w:p w14:paraId="53B87901">
      <w:pPr>
        <w:spacing w:line="240" w:lineRule="auto"/>
        <w:jc w:val="center"/>
        <w:outlineLvl w:val="1"/>
      </w:pPr>
      <w:r>
        <w:rPr>
          <w:rFonts w:ascii="黑体" w:hAnsi="黑体" w:eastAsia="黑体"/>
          <w:sz w:val="32"/>
        </w:rPr>
        <w:t>第三部分 专业名词解释</w:t>
      </w:r>
    </w:p>
    <w:p w14:paraId="2E5B714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0307AE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A515A8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C8C041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1C215F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BA1458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00C461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8A46B6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FFDF2A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36868A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027B31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A0D8B6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435522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05025F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C3831E4">
      <w:r>
        <w:br w:type="page"/>
      </w:r>
    </w:p>
    <w:p w14:paraId="504F4F45">
      <w:pPr>
        <w:spacing w:line="240" w:lineRule="auto"/>
        <w:jc w:val="center"/>
        <w:outlineLvl w:val="1"/>
      </w:pPr>
      <w:r>
        <w:rPr>
          <w:rFonts w:ascii="黑体" w:hAnsi="黑体" w:eastAsia="黑体"/>
          <w:sz w:val="32"/>
        </w:rPr>
        <w:t>第四部分 部门决算报表（见附表）</w:t>
      </w:r>
    </w:p>
    <w:p w14:paraId="66560DE8">
      <w:pPr>
        <w:spacing w:line="240" w:lineRule="auto"/>
        <w:ind w:firstLine="640"/>
        <w:jc w:val="both"/>
      </w:pPr>
      <w:r>
        <w:rPr>
          <w:rFonts w:ascii="仿宋_GB2312" w:hAnsi="仿宋_GB2312" w:eastAsia="仿宋_GB2312"/>
          <w:b w:val="0"/>
          <w:sz w:val="32"/>
        </w:rPr>
        <w:t>一、《收入支出决算总表》</w:t>
      </w:r>
    </w:p>
    <w:p w14:paraId="46397058">
      <w:pPr>
        <w:spacing w:line="240" w:lineRule="auto"/>
        <w:ind w:firstLine="640"/>
        <w:jc w:val="both"/>
      </w:pPr>
      <w:r>
        <w:rPr>
          <w:rFonts w:ascii="仿宋_GB2312" w:hAnsi="仿宋_GB2312" w:eastAsia="仿宋_GB2312"/>
          <w:b w:val="0"/>
          <w:sz w:val="32"/>
        </w:rPr>
        <w:t>二、《收入决算表》</w:t>
      </w:r>
    </w:p>
    <w:p w14:paraId="0B407F04">
      <w:pPr>
        <w:spacing w:line="240" w:lineRule="auto"/>
        <w:ind w:firstLine="640"/>
        <w:jc w:val="both"/>
      </w:pPr>
      <w:r>
        <w:rPr>
          <w:rFonts w:ascii="仿宋_GB2312" w:hAnsi="仿宋_GB2312" w:eastAsia="仿宋_GB2312"/>
          <w:b w:val="0"/>
          <w:sz w:val="32"/>
        </w:rPr>
        <w:t>三、《支出决算表》</w:t>
      </w:r>
    </w:p>
    <w:p w14:paraId="2C55AB26">
      <w:pPr>
        <w:spacing w:line="240" w:lineRule="auto"/>
        <w:ind w:firstLine="640"/>
        <w:jc w:val="both"/>
      </w:pPr>
      <w:r>
        <w:rPr>
          <w:rFonts w:ascii="仿宋_GB2312" w:hAnsi="仿宋_GB2312" w:eastAsia="仿宋_GB2312"/>
          <w:b w:val="0"/>
          <w:sz w:val="32"/>
        </w:rPr>
        <w:t>四、《财政拨款收入支出决算总表》</w:t>
      </w:r>
    </w:p>
    <w:p w14:paraId="711AD6C4">
      <w:pPr>
        <w:spacing w:line="240" w:lineRule="auto"/>
        <w:ind w:firstLine="640"/>
        <w:jc w:val="both"/>
      </w:pPr>
      <w:r>
        <w:rPr>
          <w:rFonts w:ascii="仿宋_GB2312" w:hAnsi="仿宋_GB2312" w:eastAsia="仿宋_GB2312"/>
          <w:b w:val="0"/>
          <w:sz w:val="32"/>
        </w:rPr>
        <w:t>五、《一般公共预算财政拨款支出决算表》</w:t>
      </w:r>
    </w:p>
    <w:p w14:paraId="37481978">
      <w:pPr>
        <w:spacing w:line="240" w:lineRule="auto"/>
        <w:ind w:firstLine="640"/>
        <w:jc w:val="both"/>
      </w:pPr>
      <w:r>
        <w:rPr>
          <w:rFonts w:ascii="仿宋_GB2312" w:hAnsi="仿宋_GB2312" w:eastAsia="仿宋_GB2312"/>
          <w:b w:val="0"/>
          <w:sz w:val="32"/>
        </w:rPr>
        <w:t>六、《一般公共预算财政拨款基本支出决算表》</w:t>
      </w:r>
    </w:p>
    <w:p w14:paraId="2C8BB473">
      <w:pPr>
        <w:spacing w:line="240" w:lineRule="auto"/>
        <w:ind w:firstLine="640"/>
        <w:jc w:val="both"/>
      </w:pPr>
      <w:r>
        <w:rPr>
          <w:rFonts w:ascii="仿宋_GB2312" w:hAnsi="仿宋_GB2312" w:eastAsia="仿宋_GB2312"/>
          <w:b w:val="0"/>
          <w:sz w:val="32"/>
        </w:rPr>
        <w:t>七、《政府性基金预算财政拨款收入支出决算表》</w:t>
      </w:r>
    </w:p>
    <w:p w14:paraId="3E5F6FDD">
      <w:pPr>
        <w:spacing w:line="240" w:lineRule="auto"/>
        <w:ind w:firstLine="640"/>
        <w:jc w:val="both"/>
      </w:pPr>
      <w:r>
        <w:rPr>
          <w:rFonts w:ascii="仿宋_GB2312" w:hAnsi="仿宋_GB2312" w:eastAsia="仿宋_GB2312"/>
          <w:b w:val="0"/>
          <w:sz w:val="32"/>
        </w:rPr>
        <w:t>八、《国有资本经营预算财政拨款收入支出决算表》</w:t>
      </w:r>
    </w:p>
    <w:p w14:paraId="79ED4056">
      <w:pPr>
        <w:spacing w:line="240" w:lineRule="auto"/>
        <w:ind w:firstLine="640"/>
        <w:jc w:val="both"/>
      </w:pPr>
      <w:r>
        <w:rPr>
          <w:rFonts w:ascii="仿宋_GB2312" w:hAnsi="仿宋_GB2312" w:eastAsia="仿宋_GB2312"/>
          <w:b w:val="0"/>
          <w:sz w:val="32"/>
        </w:rPr>
        <w:t>九、《财政拨款“三公”经费支出决算表》</w:t>
      </w:r>
    </w:p>
    <w:p w14:paraId="669D96EA">
      <w:pPr>
        <w:spacing w:line="240" w:lineRule="auto"/>
        <w:ind w:firstLine="640"/>
        <w:jc w:val="both"/>
      </w:pPr>
    </w:p>
    <w:p w14:paraId="0529FCAE">
      <w:pPr>
        <w:spacing w:line="240" w:lineRule="auto"/>
        <w:ind w:firstLine="640"/>
        <w:jc w:val="both"/>
      </w:pPr>
    </w:p>
    <w:p w14:paraId="340F16D4">
      <w:pPr>
        <w:spacing w:line="240" w:lineRule="auto"/>
        <w:ind w:firstLine="640"/>
        <w:jc w:val="both"/>
      </w:pPr>
    </w:p>
    <w:p w14:paraId="1A59E5C3">
      <w:pPr>
        <w:spacing w:line="240" w:lineRule="auto"/>
        <w:ind w:firstLine="640"/>
        <w:jc w:val="both"/>
      </w:pPr>
    </w:p>
    <w:p w14:paraId="4356499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979AD9D-6C63-40D6-AB28-806CE6739EA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C414662C-688C-41A1-BE62-9FF0EE2A5F84}"/>
  </w:font>
  <w:font w:name="方正小标宋_GBK">
    <w:panose1 w:val="02000000000000000000"/>
    <w:charset w:val="86"/>
    <w:family w:val="script"/>
    <w:pitch w:val="default"/>
    <w:sig w:usb0="A00002BF" w:usb1="38CF7CFA" w:usb2="00082016" w:usb3="00000000" w:csb0="00040001" w:csb1="00000000"/>
    <w:embedRegular r:id="rId3" w:fontKey="{C700C1E1-1CF2-486F-9ACD-25EF841D4521}"/>
  </w:font>
  <w:font w:name="楷体_GB2312">
    <w:altName w:val="楷体"/>
    <w:panose1 w:val="00000000000000000000"/>
    <w:charset w:val="00"/>
    <w:family w:val="auto"/>
    <w:pitch w:val="default"/>
    <w:sig w:usb0="00000000" w:usb1="00000000" w:usb2="00000000" w:usb3="00000000" w:csb0="00000000" w:csb1="00000000"/>
    <w:embedRegular r:id="rId4" w:fontKey="{6A2939D4-36F9-490B-B255-2C97D828BA45}"/>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2F2699A"/>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DEC539D"/>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4898</Words>
  <Characters>5627</Characters>
  <Lines>0</Lines>
  <Paragraphs>0</Paragraphs>
  <TotalTime>5</TotalTime>
  <ScaleCrop>false</ScaleCrop>
  <LinksUpToDate>false</LinksUpToDate>
  <CharactersWithSpaces>5640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2025-09-08T08:42:49Z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