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阿图什市吐古买提乡村镇规划建设发展中心（生态环境工作站）2024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国土资源、规划建设、园林绿化、环境保护、交通等方面的服务工作；协助乡政府制定国土资源、规划建设、园林绿化、环境保护、交通工作的规划和年度计划并组织实施：协助乡政府贯彻落实统筹城乡发展、加快推进城乡一体化工作总体部署和目标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阿图什市吐古买提乡村镇规划建设发展中心（生态环境工作站）2024年度，实有人数8人，其中：在职人员8人，增加0人；离休人员0人，增加0人；退休人员0人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阿图什市吐古买提乡村镇规划建设发展中心（生态环境工作站）无下属预算单位，下设2个科室，分别是：国土室、生态环境工作室。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2024年度收入总计101.81万元，</w:t>
      </w:r>
      <w:r>
        <w:rPr>
          <w:rFonts w:ascii="仿宋_GB2312" w:hAnsi="仿宋_GB2312" w:eastAsia="仿宋_GB2312"/>
          <w:b w:val="0"/>
          <w:sz w:val="32"/>
        </w:rPr>
        <w:t>其中：本年收入合计101.81万元，使用非财政拨款结余（含专用结余）0.00万元，年初结转和结余0.00万元。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2024年度支出总计101.81万元，</w:t>
      </w:r>
      <w:r>
        <w:rPr>
          <w:rFonts w:ascii="仿宋_GB2312" w:hAnsi="仿宋_GB2312" w:eastAsia="仿宋_GB2312"/>
          <w:b w:val="0"/>
          <w:sz w:val="32"/>
        </w:rPr>
        <w:t>其中：本年支出合计101.81万元，结余分配0.00万元，年末结转和结余0.00万元。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收入支出总体与上年相比，减少1.80万元，下降1.74%，主要原因是：本年在职人员调入调出，人员职级不同，工资基数不同，导致人员经费较上年减少。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本年收入101.81万元，</w:t>
      </w:r>
      <w:r>
        <w:rPr>
          <w:rFonts w:ascii="仿宋_GB2312" w:hAnsi="仿宋_GB2312" w:eastAsia="仿宋_GB2312"/>
          <w:b w:val="0"/>
          <w:sz w:val="32"/>
        </w:rPr>
        <w:t>其中：财政拨款收入101.81万元，占100.00%；上级补助收入0.00万元，占0.00%；事业收入0.00万元，占0.00%；经营收入0.00万元，占0.00%；附属单位上缴收入0.00万元，占0.00%；其他收入0.00万元，占0.00%。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本年支出101.81万元，</w:t>
      </w:r>
      <w:r>
        <w:rPr>
          <w:rFonts w:ascii="仿宋_GB2312" w:hAnsi="仿宋_GB2312" w:eastAsia="仿宋_GB2312"/>
          <w:b w:val="0"/>
          <w:sz w:val="32"/>
        </w:rPr>
        <w:t>其中：基本支出101.81万元，占100.00%；项目支出0.00万元，占0.00%；上缴上级支出0.00万元，占0.00%；经营支出0.00万元，占0.00%；对附属单位补助支出0.00万元，占0.00%。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2024年度财政拨款收入总计101.81万元，</w:t>
      </w:r>
      <w:r>
        <w:rPr>
          <w:rFonts w:ascii="仿宋_GB2312" w:hAnsi="仿宋_GB2312" w:eastAsia="仿宋_GB2312"/>
          <w:b w:val="0"/>
          <w:sz w:val="32"/>
        </w:rPr>
        <w:t>其中：年初财政拨款结转和结余0.00万元，本年财政拨款收入101.81万元。</w:t>
      </w:r>
      <w:r>
        <w:rPr>
          <w:rFonts w:ascii="仿宋_GB2312" w:hAnsi="仿宋_GB2312" w:eastAsia="仿宋_GB2312"/>
          <w:b/>
          <w:sz w:val="32"/>
        </w:rPr>
        <w:t>财政拨款支出总计101.81万元，</w:t>
      </w:r>
      <w:r>
        <w:rPr>
          <w:rFonts w:ascii="仿宋_GB2312" w:hAnsi="仿宋_GB2312" w:eastAsia="仿宋_GB2312"/>
          <w:b w:val="0"/>
          <w:sz w:val="32"/>
        </w:rPr>
        <w:t>其中：年末财政拨款结转和结余0.00万元，本年财政拨款支出101.81万元。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减少1.80万元，下降1.74%，主要原因是：本年在职人员调入调出，人员职级不同，工资基数不同，导致人员经费较上年减少。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年初预算数123.62万元，决算数101.81万元，预决算差异率-17.64%，主要原因是：本年在职人员调入调出，人员职级不同，工资基数不同，年中调减人员经费，导致预决算存在差异。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2024年度一般公共预算财政拨款支出101.81万元，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减少1.80万元，下降1.74%，主要原因是：本年在职人员调入调出，人员职级不同，工资基数不同，导致人员经费较上年减少。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年初预算数123.62万元，决算数101.81万元，预决算差异率-17.64%，主要原因是：本年在职人员调入调出，人员职级不同，工资基数不同，年中调减人员经费，导致预决算存在差异。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1.社会保障和就业支出(类)9.82万元</w:t>
      </w:r>
      <w:r>
        <w:rPr>
          <w:rFonts w:hint="eastAsia" w:ascii="仿宋_GB2312" w:hAnsi="仿宋_GB2312" w:eastAsia="仿宋_GB2312"/>
          <w:b w:val="0"/>
          <w:sz w:val="32"/>
          <w:lang w:eastAsia="zh-CN"/>
        </w:rPr>
        <w:t>，</w:t>
      </w:r>
      <w:r>
        <w:rPr>
          <w:rFonts w:ascii="仿宋_GB2312" w:hAnsi="仿宋_GB2312" w:eastAsia="仿宋_GB2312"/>
          <w:b w:val="0"/>
          <w:sz w:val="32"/>
        </w:rPr>
        <w:t>占9.65%。</w:t>
      </w:r>
    </w:p>
    <w:p>
      <w:pPr>
        <w:spacing w:line="580" w:lineRule="exact"/>
        <w:ind w:firstLine="640"/>
        <w:jc w:val="both"/>
      </w:pPr>
      <w:r>
        <w:rPr>
          <w:rFonts w:ascii="仿宋_GB2312" w:hAnsi="仿宋_GB2312" w:eastAsia="仿宋_GB2312"/>
          <w:b w:val="0"/>
          <w:sz w:val="32"/>
        </w:rPr>
        <w:t>2.卫生健康支出(类)3.40万元</w:t>
      </w:r>
      <w:r>
        <w:rPr>
          <w:rFonts w:hint="eastAsia" w:ascii="仿宋_GB2312" w:hAnsi="仿宋_GB2312" w:eastAsia="仿宋_GB2312"/>
          <w:b w:val="0"/>
          <w:sz w:val="32"/>
          <w:lang w:eastAsia="zh-CN"/>
        </w:rPr>
        <w:t>，</w:t>
      </w:r>
      <w:r>
        <w:rPr>
          <w:rFonts w:ascii="仿宋_GB2312" w:hAnsi="仿宋_GB2312" w:eastAsia="仿宋_GB2312"/>
          <w:b w:val="0"/>
          <w:sz w:val="32"/>
        </w:rPr>
        <w:t>占3.34%。</w:t>
      </w:r>
    </w:p>
    <w:p>
      <w:pPr>
        <w:spacing w:line="580" w:lineRule="exact"/>
        <w:ind w:firstLine="640"/>
        <w:jc w:val="both"/>
      </w:pPr>
      <w:r>
        <w:rPr>
          <w:rFonts w:ascii="仿宋_GB2312" w:hAnsi="仿宋_GB2312" w:eastAsia="仿宋_GB2312"/>
          <w:b w:val="0"/>
          <w:sz w:val="32"/>
        </w:rPr>
        <w:t>3.自然资源海洋气象等支出(类)80.50万元</w:t>
      </w:r>
      <w:r>
        <w:rPr>
          <w:rFonts w:hint="eastAsia" w:ascii="仿宋_GB2312" w:hAnsi="仿宋_GB2312" w:eastAsia="仿宋_GB2312"/>
          <w:b w:val="0"/>
          <w:sz w:val="32"/>
          <w:lang w:eastAsia="zh-CN"/>
        </w:rPr>
        <w:t>，</w:t>
      </w:r>
      <w:r>
        <w:rPr>
          <w:rFonts w:ascii="仿宋_GB2312" w:hAnsi="仿宋_GB2312" w:eastAsia="仿宋_GB2312"/>
          <w:b w:val="0"/>
          <w:sz w:val="32"/>
        </w:rPr>
        <w:t>占79.07%。</w:t>
      </w:r>
    </w:p>
    <w:p>
      <w:pPr>
        <w:spacing w:line="580" w:lineRule="exact"/>
        <w:ind w:firstLine="640"/>
        <w:jc w:val="both"/>
      </w:pPr>
      <w:r>
        <w:rPr>
          <w:rFonts w:ascii="仿宋_GB2312" w:hAnsi="仿宋_GB2312" w:eastAsia="仿宋_GB2312"/>
          <w:b w:val="0"/>
          <w:sz w:val="32"/>
        </w:rPr>
        <w:t>4.住房保障支出(类)8.09万元</w:t>
      </w:r>
      <w:r>
        <w:rPr>
          <w:rFonts w:hint="eastAsia" w:ascii="仿宋_GB2312" w:hAnsi="仿宋_GB2312" w:eastAsia="仿宋_GB2312"/>
          <w:b w:val="0"/>
          <w:sz w:val="32"/>
          <w:lang w:eastAsia="zh-CN"/>
        </w:rPr>
        <w:t>，</w:t>
      </w:r>
      <w:r>
        <w:rPr>
          <w:rFonts w:ascii="仿宋_GB2312" w:hAnsi="仿宋_GB2312" w:eastAsia="仿宋_GB2312"/>
          <w:b w:val="0"/>
          <w:sz w:val="32"/>
        </w:rPr>
        <w:t>占7.95%。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支出决算数为9.82万元，比上年决算增加0.02万元，增长0.20%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2.卫生健康支出(类)行政事业单位医疗(款)事业单位医疗(项)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支出决算数为3.40万元，比上年决算增加0.73万元，增长27.34%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3.自然资源海洋气象等支出(类)自然资源事务(款)其他自然资源事务支出(项)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支出决算数为80.50万元，比上年决算减少2.56万元，下降3.08%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4.住房保障支出(类)住房改革支出(款)住房公积金(项)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支出决算数为8.09万元，比上年决算增加0.01万元，增长0.12%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2024年度一般公共预算财政拨款基本支出101.81万元，其中：</w:t>
      </w:r>
      <w:r>
        <w:rPr>
          <w:rFonts w:ascii="仿宋_GB2312" w:hAnsi="仿宋_GB2312" w:eastAsia="仿宋_GB2312"/>
          <w:b/>
          <w:sz w:val="32"/>
        </w:rPr>
        <w:t>人员经费100.76万元，</w:t>
      </w:r>
      <w:r>
        <w:rPr>
          <w:rFonts w:ascii="仿宋_GB2312" w:hAnsi="仿宋_GB2312" w:eastAsia="仿宋_GB2312"/>
          <w:b w:val="0"/>
          <w:sz w:val="32"/>
        </w:rPr>
        <w:t>包括：基本工资、津贴补贴、奖金、机关事业单位基本养老保险缴费、职工基本医疗保险缴费、其他社会保障缴费、住房公积金。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公用经费1.05万元，</w:t>
      </w:r>
      <w:r>
        <w:rPr>
          <w:rFonts w:ascii="仿宋_GB2312" w:hAnsi="仿宋_GB2312" w:eastAsia="仿宋_GB2312"/>
          <w:b w:val="0"/>
          <w:sz w:val="32"/>
        </w:rPr>
        <w:t>包括：办公费、其他商品和服务支出。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2024年度阿图什市吐古买提乡村镇规划建设发展中心（生态环境工作站）（事业单位）公用经费支出1.05万元，比上年增加0.00万元，增长0.00%，主要原因是：本年公用经费与上年相比无变化。</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bookmarkStart w:id="0" w:name="_GoBack"/>
      <w:bookmarkEnd w:id="0"/>
      <w:r>
        <w:rPr>
          <w:rFonts w:ascii="仿宋_GB2312" w:hAnsi="仿宋_GB2312" w:eastAsia="仿宋_GB2312"/>
          <w:b w:val="0"/>
          <w:sz w:val="32"/>
        </w:rPr>
        <w:t>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本单位2024年度无政府采购支出，授予中小企业合同金额0.00万元。本年度本单位整体绩效自评表由阿图什市吐古买提乡人民政府编报并公开。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AA0CFBE-D111-44EC-93EA-04E8DCB47DE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52CBB6DF-6956-452A-BCDF-BE7DDD0F301F}"/>
  </w:font>
  <w:font w:name="仿宋_GB2312">
    <w:panose1 w:val="02010609030101010101"/>
    <w:charset w:val="86"/>
    <w:family w:val="modern"/>
    <w:pitch w:val="default"/>
    <w:sig w:usb0="00000001" w:usb1="080E0000" w:usb2="00000000" w:usb3="00000000" w:csb0="00040000" w:csb1="00000000"/>
    <w:embedRegular r:id="rId3" w:fontKey="{C692E3AF-CCC5-4668-8A42-014F27EE6F41}"/>
  </w:font>
  <w:font w:name="楷体_GB2312">
    <w:panose1 w:val="02010609030101010101"/>
    <w:charset w:val="86"/>
    <w:family w:val="auto"/>
    <w:pitch w:val="default"/>
    <w:sig w:usb0="00000001" w:usb1="080E0000" w:usb2="00000000" w:usb3="00000000" w:csb0="00040000" w:csb1="00000000"/>
    <w:embedRegular r:id="rId4" w:fontKey="{FE4B0890-01BA-4C3D-997F-7474B995EC0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9508C3"/>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0F28F3"/>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7373360"/>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2471F0"/>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4830</Words>
  <Characters>5379</Characters>
  <Lines>0</Lines>
  <Paragraphs>0</Paragraphs>
  <TotalTime>3</TotalTime>
  <ScaleCrop>false</ScaleCrop>
  <LinksUpToDate>false</LinksUpToDate>
  <CharactersWithSpaces>5389</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2025-09-12T12:09:04Z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