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E366DB">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阿图什市交通运输局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0827585">
      <w:r>
        <w:br w:type="page"/>
      </w:r>
    </w:p>
    <w:p w14:paraId="7D4A7433">
      <w:pPr>
        <w:spacing w:line="640" w:lineRule="exact"/>
        <w:jc w:val="center"/>
        <w:outlineLvl w:val="1"/>
      </w:pPr>
      <w:r>
        <w:rPr>
          <w:rFonts w:ascii="黑体" w:hAnsi="黑体" w:eastAsia="黑体"/>
          <w:sz w:val="32"/>
        </w:rPr>
        <w:t>第一部分 单位概况</w:t>
      </w:r>
    </w:p>
    <w:p w14:paraId="40A9F865">
      <w:pPr>
        <w:spacing w:line="640" w:lineRule="exact"/>
        <w:ind w:firstLine="640"/>
        <w:jc w:val="both"/>
        <w:outlineLvl w:val="2"/>
      </w:pPr>
      <w:r>
        <w:rPr>
          <w:rFonts w:ascii="黑体" w:hAnsi="黑体" w:eastAsia="黑体"/>
          <w:sz w:val="32"/>
        </w:rPr>
        <w:t>一、主要职能</w:t>
      </w:r>
    </w:p>
    <w:p w14:paraId="02A2352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贯彻执行国家有关公路交通运输行业的方针、政策、法规，拟订阿图什市相关交通运输政策并组织实施和监督检查。</w:t>
      </w:r>
    </w:p>
    <w:p w14:paraId="4C908F40">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拟订阿图什市公路交通运输发展规划、中长期计划并监督实施</w:t>
      </w:r>
      <w:r>
        <w:rPr>
          <w:rFonts w:hint="eastAsia" w:ascii="仿宋_GB2312" w:hAnsi="仿宋_GB2312" w:eastAsia="仿宋_GB2312"/>
          <w:sz w:val="32"/>
          <w:lang w:eastAsia="zh-CN"/>
        </w:rPr>
        <w:t>；</w:t>
      </w:r>
      <w:r>
        <w:rPr>
          <w:rFonts w:ascii="仿宋_GB2312" w:hAnsi="仿宋_GB2312" w:eastAsia="仿宋_GB2312"/>
          <w:sz w:val="32"/>
        </w:rPr>
        <w:t>会同有关部门组织编制阿图什市综合运输体系规划。</w:t>
      </w:r>
    </w:p>
    <w:p w14:paraId="51DC14A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指导管理城乡客运及有关设施规划和管理工作，负责城市出租汽车、公交车行业管理工作</w:t>
      </w:r>
      <w:r>
        <w:rPr>
          <w:rFonts w:hint="eastAsia" w:ascii="仿宋_GB2312" w:hAnsi="仿宋_GB2312" w:eastAsia="仿宋_GB2312"/>
          <w:sz w:val="32"/>
          <w:lang w:eastAsia="zh-CN"/>
        </w:rPr>
        <w:t>；</w:t>
      </w:r>
      <w:r>
        <w:rPr>
          <w:rFonts w:ascii="仿宋_GB2312" w:hAnsi="仿宋_GB2312" w:eastAsia="仿宋_GB2312"/>
          <w:sz w:val="32"/>
        </w:rPr>
        <w:t>按照有关法规规定，负责审批全市城市出租车公交车辆、经营资格，核定经营范围和经营路线，对营运证照、经营范围、经营行为、服务质量及运输安全进行监督检查。受理投诉，查处违章行为和重大质量事故，维护城市交通运输市场秩序。</w:t>
      </w:r>
    </w:p>
    <w:p w14:paraId="70AE79E8">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负责提出阿图什市农村公路固定资产投资规模和方向、财政性资金安排意见。拟订公路有关规费政策并监督实施，会同有关部门制定交通运输行业价格，对涉及财政、土地、价格等方面的问题提出政策建议。</w:t>
      </w:r>
    </w:p>
    <w:p w14:paraId="52F6A93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承担阿图什市公路建设市场监管责任。拟订阿图什市公路工程建设相关政策、制度和技术标准并监督实施。组织协调公路有关重点工程建设和工程质量、安全生产监督管理及有关人员资质管理工作，指导交通运输基础设施管理和维护，承担有关重要设施的管理和维护。负责管辖范围内县道、乡道、村道的建设、养护和管理，负责农村公路路政综合管理依法保护公路路产路权。</w:t>
      </w:r>
    </w:p>
    <w:p w14:paraId="2EFF097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指导阿图什市交通运输行业体制改革</w:t>
      </w:r>
      <w:r>
        <w:rPr>
          <w:rFonts w:hint="eastAsia" w:ascii="仿宋_GB2312" w:hAnsi="仿宋_GB2312" w:eastAsia="仿宋_GB2312"/>
          <w:sz w:val="32"/>
          <w:lang w:eastAsia="zh-CN"/>
        </w:rPr>
        <w:t>；</w:t>
      </w:r>
      <w:r>
        <w:rPr>
          <w:rFonts w:ascii="仿宋_GB2312" w:hAnsi="仿宋_GB2312" w:eastAsia="仿宋_GB2312"/>
          <w:sz w:val="32"/>
        </w:rPr>
        <w:t>会同有关部门培育和管理交通运输市场和交通基础设施建设市场，维护阿图什市交通运输行业的平等竞争秩序。</w:t>
      </w:r>
    </w:p>
    <w:p w14:paraId="48978979">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指导交通运输行业安全生产和应急管理工作。按规定组织协调阿图什市重点物资和紧急客货运输，协调阿图什市高等级公路及重点干线路建设，承担交通战备工作。</w:t>
      </w:r>
    </w:p>
    <w:p w14:paraId="0863B0D6">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贯彻执行交通行业科技政策、技术标准和规范</w:t>
      </w:r>
      <w:r>
        <w:rPr>
          <w:rFonts w:hint="eastAsia" w:ascii="仿宋_GB2312" w:hAnsi="仿宋_GB2312" w:eastAsia="仿宋_GB2312"/>
          <w:sz w:val="32"/>
          <w:lang w:eastAsia="zh-CN"/>
        </w:rPr>
        <w:t>；</w:t>
      </w:r>
      <w:r>
        <w:rPr>
          <w:rFonts w:ascii="仿宋_GB2312" w:hAnsi="仿宋_GB2312" w:eastAsia="仿宋_GB2312"/>
          <w:sz w:val="32"/>
        </w:rPr>
        <w:t>引导交通运输行业优化结构、协调发展。指导交通运输信息化建设，监测分析运行情况开展相关统计工作，发布有关信息</w:t>
      </w:r>
      <w:r>
        <w:rPr>
          <w:rFonts w:hint="eastAsia" w:ascii="仿宋_GB2312" w:hAnsi="仿宋_GB2312" w:eastAsia="仿宋_GB2312"/>
          <w:sz w:val="32"/>
          <w:lang w:eastAsia="zh-CN"/>
        </w:rPr>
        <w:t>；</w:t>
      </w:r>
      <w:r>
        <w:rPr>
          <w:rFonts w:ascii="仿宋_GB2312" w:hAnsi="仿宋_GB2312" w:eastAsia="仿宋_GB2312"/>
          <w:sz w:val="32"/>
        </w:rPr>
        <w:t>指导阿图什市交通运输行业环境保护和节能减排工作。</w:t>
      </w:r>
    </w:p>
    <w:p w14:paraId="46CFAF1D">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指导交通运输行业的法治宣传、行政复议、行政应诉、行政执法和监督工作</w:t>
      </w:r>
      <w:r>
        <w:rPr>
          <w:rFonts w:hint="eastAsia" w:ascii="仿宋_GB2312" w:hAnsi="仿宋_GB2312" w:eastAsia="仿宋_GB2312"/>
          <w:sz w:val="32"/>
          <w:lang w:eastAsia="zh-CN"/>
        </w:rPr>
        <w:t>；</w:t>
      </w:r>
      <w:r>
        <w:rPr>
          <w:rFonts w:ascii="仿宋_GB2312" w:hAnsi="仿宋_GB2312" w:eastAsia="仿宋_GB2312"/>
          <w:sz w:val="32"/>
        </w:rPr>
        <w:t>指导交通行业职业教育和培训工作。</w:t>
      </w:r>
    </w:p>
    <w:p w14:paraId="517954CA">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承办阿图什市人民政府交办的其他工作。</w:t>
      </w:r>
    </w:p>
    <w:p w14:paraId="6938AE70">
      <w:pPr>
        <w:spacing w:line="640" w:lineRule="exact"/>
        <w:ind w:firstLine="640"/>
        <w:jc w:val="both"/>
        <w:outlineLvl w:val="2"/>
      </w:pPr>
      <w:r>
        <w:rPr>
          <w:rFonts w:ascii="黑体" w:hAnsi="黑体" w:eastAsia="黑体"/>
          <w:sz w:val="32"/>
        </w:rPr>
        <w:t>二、机构设置及人员情况</w:t>
      </w:r>
    </w:p>
    <w:p w14:paraId="796F3EA4">
      <w:pPr>
        <w:spacing w:line="580" w:lineRule="exact"/>
        <w:ind w:firstLine="640"/>
        <w:jc w:val="both"/>
      </w:pPr>
      <w:r>
        <w:rPr>
          <w:rFonts w:ascii="仿宋_GB2312" w:hAnsi="仿宋_GB2312" w:eastAsia="仿宋_GB2312"/>
          <w:sz w:val="32"/>
        </w:rPr>
        <w:t>阿图什市交通运输局2024年度，实有人数39人，其中：在职人员29人，增加1人；离休人员0人，增加0人；退休人员10人</w:t>
      </w:r>
      <w:r>
        <w:rPr>
          <w:rFonts w:hint="eastAsia" w:ascii="仿宋_GB2312" w:hAnsi="仿宋_GB2312" w:eastAsia="仿宋_GB2312"/>
          <w:sz w:val="32"/>
          <w:lang w:eastAsia="zh-CN"/>
        </w:rPr>
        <w:t>，</w:t>
      </w:r>
      <w:r>
        <w:rPr>
          <w:rFonts w:ascii="仿宋_GB2312" w:hAnsi="仿宋_GB2312" w:eastAsia="仿宋_GB2312"/>
          <w:sz w:val="32"/>
        </w:rPr>
        <w:t>增加1人。</w:t>
      </w:r>
    </w:p>
    <w:p w14:paraId="3B349C83">
      <w:pPr>
        <w:spacing w:line="580" w:lineRule="exact"/>
        <w:ind w:firstLine="640"/>
        <w:jc w:val="both"/>
      </w:pPr>
      <w:r>
        <w:rPr>
          <w:rFonts w:ascii="仿宋_GB2312" w:hAnsi="仿宋_GB2312" w:eastAsia="仿宋_GB2312"/>
          <w:sz w:val="32"/>
        </w:rPr>
        <w:t>阿图什市交通运输局无下属预算单位，下设4个科室，分别是：办公室、行政执法大队、财务室、综合业务室。</w:t>
      </w:r>
    </w:p>
    <w:p w14:paraId="64AD42F8">
      <w:r>
        <w:br w:type="page"/>
      </w:r>
    </w:p>
    <w:p w14:paraId="1354AF22">
      <w:pPr>
        <w:spacing w:line="240" w:lineRule="auto"/>
        <w:jc w:val="center"/>
        <w:outlineLvl w:val="1"/>
      </w:pPr>
      <w:r>
        <w:rPr>
          <w:rFonts w:ascii="黑体" w:hAnsi="黑体" w:eastAsia="黑体"/>
          <w:sz w:val="32"/>
        </w:rPr>
        <w:t>第二部分 部门决算情况说明</w:t>
      </w:r>
    </w:p>
    <w:p w14:paraId="2427D753">
      <w:pPr>
        <w:spacing w:line="640" w:lineRule="exact"/>
        <w:ind w:firstLine="640"/>
        <w:jc w:val="both"/>
        <w:outlineLvl w:val="2"/>
      </w:pPr>
      <w:r>
        <w:rPr>
          <w:rFonts w:ascii="黑体" w:hAnsi="黑体" w:eastAsia="黑体"/>
          <w:sz w:val="32"/>
        </w:rPr>
        <w:t>一、收入支出决算总体情况说明</w:t>
      </w:r>
    </w:p>
    <w:p w14:paraId="630DEF5E">
      <w:pPr>
        <w:spacing w:line="580" w:lineRule="exact"/>
        <w:ind w:firstLine="640"/>
        <w:jc w:val="both"/>
      </w:pPr>
      <w:r>
        <w:rPr>
          <w:rFonts w:ascii="仿宋_GB2312" w:hAnsi="仿宋_GB2312" w:eastAsia="仿宋_GB2312"/>
          <w:b/>
          <w:sz w:val="32"/>
        </w:rPr>
        <w:t>2024年度收入总计16,682.38万元，</w:t>
      </w:r>
      <w:r>
        <w:rPr>
          <w:rFonts w:ascii="仿宋_GB2312" w:hAnsi="仿宋_GB2312" w:eastAsia="仿宋_GB2312"/>
          <w:b w:val="0"/>
          <w:sz w:val="32"/>
        </w:rPr>
        <w:t>其中：本年收入合计16,188.43万元，使用非财政拨款结余（含专用结余）0.00万元，年初结转和结余493.95万元。</w:t>
      </w:r>
    </w:p>
    <w:p w14:paraId="63144754">
      <w:pPr>
        <w:spacing w:line="580" w:lineRule="exact"/>
        <w:ind w:firstLine="640"/>
        <w:jc w:val="both"/>
      </w:pPr>
      <w:r>
        <w:rPr>
          <w:rFonts w:ascii="仿宋_GB2312" w:hAnsi="仿宋_GB2312" w:eastAsia="仿宋_GB2312"/>
          <w:b/>
          <w:sz w:val="32"/>
        </w:rPr>
        <w:t>2024年度支出总计16,682.38万元，</w:t>
      </w:r>
      <w:r>
        <w:rPr>
          <w:rFonts w:ascii="仿宋_GB2312" w:hAnsi="仿宋_GB2312" w:eastAsia="仿宋_GB2312"/>
          <w:b w:val="0"/>
          <w:sz w:val="32"/>
        </w:rPr>
        <w:t>其中：本年支出合计16,607.24万元，结余分配0.00万元，年末结转和结余75.14万元。</w:t>
      </w:r>
    </w:p>
    <w:p w14:paraId="555C6A9A">
      <w:pPr>
        <w:spacing w:line="580" w:lineRule="exact"/>
        <w:ind w:firstLine="640"/>
        <w:jc w:val="both"/>
      </w:pPr>
      <w:r>
        <w:rPr>
          <w:rFonts w:ascii="仿宋_GB2312" w:hAnsi="仿宋_GB2312" w:eastAsia="仿宋_GB2312"/>
          <w:b w:val="0"/>
          <w:sz w:val="32"/>
        </w:rPr>
        <w:t>收入支出总体与上年相比，减少3,194.82万元，下降16.07%，主要原因是：阿图什市阿胡乡尤喀克买里村，松他克镇，上阿图什镇托卡其拉村桥梁建设项目，阿图什市X373线，X379线养护项目等项目支出减少。</w:t>
      </w:r>
    </w:p>
    <w:p w14:paraId="447C3966">
      <w:pPr>
        <w:spacing w:line="640" w:lineRule="exact"/>
        <w:ind w:firstLine="640"/>
        <w:jc w:val="both"/>
        <w:outlineLvl w:val="2"/>
      </w:pPr>
      <w:r>
        <w:rPr>
          <w:rFonts w:ascii="黑体" w:hAnsi="黑体" w:eastAsia="黑体"/>
          <w:sz w:val="32"/>
        </w:rPr>
        <w:t>二、收入决算情况说明</w:t>
      </w:r>
    </w:p>
    <w:p w14:paraId="6ADC6DAB">
      <w:pPr>
        <w:spacing w:line="580" w:lineRule="exact"/>
        <w:ind w:firstLine="640"/>
        <w:jc w:val="both"/>
      </w:pPr>
      <w:r>
        <w:rPr>
          <w:rFonts w:ascii="仿宋_GB2312" w:hAnsi="仿宋_GB2312" w:eastAsia="仿宋_GB2312"/>
          <w:b/>
          <w:sz w:val="32"/>
        </w:rPr>
        <w:t>本年收入16,188.43万元，</w:t>
      </w:r>
      <w:r>
        <w:rPr>
          <w:rFonts w:ascii="仿宋_GB2312" w:hAnsi="仿宋_GB2312" w:eastAsia="仿宋_GB2312"/>
          <w:b w:val="0"/>
          <w:sz w:val="32"/>
        </w:rPr>
        <w:t>其中：财政拨款收入15,824.03万元，占97.75%；上级补助收入0.00万元，占0.00%；事业收入0.00万元，占0.00%；经营收入0.00万元，占0.00%；附属单位上缴收入0.00万元，占0.00%；其他收入364.40万元，占2.25%。</w:t>
      </w:r>
    </w:p>
    <w:p w14:paraId="74E2BFD6">
      <w:pPr>
        <w:spacing w:line="640" w:lineRule="exact"/>
        <w:ind w:firstLine="640"/>
        <w:jc w:val="both"/>
        <w:outlineLvl w:val="2"/>
      </w:pPr>
      <w:r>
        <w:rPr>
          <w:rFonts w:ascii="黑体" w:hAnsi="黑体" w:eastAsia="黑体"/>
          <w:sz w:val="32"/>
        </w:rPr>
        <w:t>三、支出决算情况说明</w:t>
      </w:r>
    </w:p>
    <w:p w14:paraId="52ECD155">
      <w:pPr>
        <w:spacing w:line="580" w:lineRule="exact"/>
        <w:ind w:firstLine="640"/>
        <w:jc w:val="both"/>
      </w:pPr>
      <w:r>
        <w:rPr>
          <w:rFonts w:ascii="仿宋_GB2312" w:hAnsi="仿宋_GB2312" w:eastAsia="仿宋_GB2312"/>
          <w:b/>
          <w:sz w:val="32"/>
        </w:rPr>
        <w:t>本年支出16,607.24万元，</w:t>
      </w:r>
      <w:r>
        <w:rPr>
          <w:rFonts w:ascii="仿宋_GB2312" w:hAnsi="仿宋_GB2312" w:eastAsia="仿宋_GB2312"/>
          <w:b w:val="0"/>
          <w:sz w:val="32"/>
        </w:rPr>
        <w:t>其中：基本支出1,155.58万元，占6.96%；项目支出15,451.66万元，占93.04%；上缴上级支出0.00万元，占0.00%；经营支出0.00万元，占0.00%；对附属单位补助支出0.00万元，占0.00%。</w:t>
      </w:r>
    </w:p>
    <w:p w14:paraId="39649C1A">
      <w:pPr>
        <w:spacing w:line="640" w:lineRule="exact"/>
        <w:ind w:firstLine="640"/>
        <w:jc w:val="both"/>
        <w:outlineLvl w:val="2"/>
      </w:pPr>
      <w:r>
        <w:rPr>
          <w:rFonts w:ascii="黑体" w:hAnsi="黑体" w:eastAsia="黑体"/>
          <w:sz w:val="32"/>
        </w:rPr>
        <w:t>四、财政拨款收入支出决算总体情况说明</w:t>
      </w:r>
    </w:p>
    <w:p w14:paraId="69929EF7">
      <w:pPr>
        <w:spacing w:line="580" w:lineRule="exact"/>
        <w:ind w:firstLine="640"/>
        <w:jc w:val="both"/>
      </w:pPr>
      <w:r>
        <w:rPr>
          <w:rFonts w:ascii="仿宋_GB2312" w:hAnsi="仿宋_GB2312" w:eastAsia="仿宋_GB2312"/>
          <w:b/>
          <w:sz w:val="32"/>
        </w:rPr>
        <w:t>2024年度财政拨款收入总计15,824.03万元，</w:t>
      </w:r>
      <w:r>
        <w:rPr>
          <w:rFonts w:ascii="仿宋_GB2312" w:hAnsi="仿宋_GB2312" w:eastAsia="仿宋_GB2312"/>
          <w:b w:val="0"/>
          <w:sz w:val="32"/>
        </w:rPr>
        <w:t>其中：年初财政拨款结转和结余0.00万元，本年财政拨款收入15,824.03万元。</w:t>
      </w:r>
      <w:r>
        <w:rPr>
          <w:rFonts w:ascii="仿宋_GB2312" w:hAnsi="仿宋_GB2312" w:eastAsia="仿宋_GB2312"/>
          <w:b/>
          <w:sz w:val="32"/>
        </w:rPr>
        <w:t>财政拨款支出总计15,824.03万元，</w:t>
      </w:r>
      <w:r>
        <w:rPr>
          <w:rFonts w:ascii="仿宋_GB2312" w:hAnsi="仿宋_GB2312" w:eastAsia="仿宋_GB2312"/>
          <w:b w:val="0"/>
          <w:sz w:val="32"/>
        </w:rPr>
        <w:t>其中：年末财政拨款结转和结余0.00万元，本年财政拨款支出15,824.03万元。</w:t>
      </w:r>
    </w:p>
    <w:p w14:paraId="753784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减少1,983.45万元，下降11.14%，主要原因是：阿图什市阿胡乡尤喀克买里村，松他克镇，上阿图什镇托卡其拉村桥梁建设项目，阿图什市X373线，X379线养护项目等项目支出减少。</w:t>
      </w:r>
      <w:r>
        <w:rPr>
          <w:rFonts w:ascii="仿宋_GB2312" w:hAnsi="仿宋_GB2312" w:eastAsia="仿宋_GB2312"/>
          <w:b/>
          <w:sz w:val="32"/>
        </w:rPr>
        <w:t>与年初预算相比，</w:t>
      </w:r>
      <w:r>
        <w:rPr>
          <w:rFonts w:ascii="仿宋_GB2312" w:hAnsi="仿宋_GB2312" w:eastAsia="仿宋_GB2312"/>
          <w:b w:val="0"/>
          <w:sz w:val="32"/>
        </w:rPr>
        <w:t>年初预算数12,858.24万元，决算数15,824.03万元，预决算差异率23.07%，主要原因是：年中追加人员工资、社保、公积金基数调增部分资金，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草原补偿</w:t>
      </w:r>
      <w:r>
        <w:rPr>
          <w:rFonts w:hint="eastAsia" w:ascii="仿宋_GB2312" w:hAnsi="仿宋_GB2312" w:eastAsia="仿宋_GB2312"/>
          <w:b w:val="0"/>
          <w:sz w:val="32"/>
          <w:lang w:eastAsia="zh-CN"/>
        </w:rPr>
        <w:t>、</w:t>
      </w:r>
      <w:r>
        <w:rPr>
          <w:rFonts w:ascii="仿宋_GB2312" w:hAnsi="仿宋_GB2312" w:eastAsia="仿宋_GB2312"/>
          <w:b w:val="0"/>
          <w:sz w:val="32"/>
        </w:rPr>
        <w:t>一个公益性群体人员一次性票价补贴</w:t>
      </w:r>
      <w:r>
        <w:rPr>
          <w:rFonts w:hint="eastAsia" w:ascii="仿宋_GB2312" w:hAnsi="仿宋_GB2312" w:eastAsia="仿宋_GB2312"/>
          <w:b w:val="0"/>
          <w:sz w:val="32"/>
          <w:lang w:val="en-US" w:eastAsia="zh-CN"/>
        </w:rPr>
        <w:t>等项目经费</w:t>
      </w:r>
      <w:r>
        <w:rPr>
          <w:rFonts w:ascii="仿宋_GB2312" w:hAnsi="仿宋_GB2312" w:eastAsia="仿宋_GB2312"/>
          <w:b w:val="0"/>
          <w:sz w:val="32"/>
        </w:rPr>
        <w:t>，导致预决算差异。</w:t>
      </w:r>
    </w:p>
    <w:p w14:paraId="5CE1D084">
      <w:pPr>
        <w:spacing w:line="640" w:lineRule="exact"/>
        <w:ind w:firstLine="640"/>
        <w:jc w:val="both"/>
        <w:outlineLvl w:val="2"/>
      </w:pPr>
      <w:r>
        <w:rPr>
          <w:rFonts w:ascii="黑体" w:hAnsi="黑体" w:eastAsia="黑体"/>
          <w:sz w:val="32"/>
        </w:rPr>
        <w:t>五、一般公共预算财政拨款支出决算情况说明</w:t>
      </w:r>
    </w:p>
    <w:p w14:paraId="2F9A28CC">
      <w:pPr>
        <w:spacing w:line="640" w:lineRule="exact"/>
        <w:ind w:firstLine="640"/>
        <w:jc w:val="both"/>
        <w:outlineLvl w:val="3"/>
      </w:pPr>
      <w:r>
        <w:rPr>
          <w:rFonts w:ascii="楷体_GB2312" w:hAnsi="楷体_GB2312" w:eastAsia="楷体_GB2312"/>
          <w:b/>
          <w:sz w:val="32"/>
        </w:rPr>
        <w:t>（一）一般公共预算财政拨款支出决算总体情况</w:t>
      </w:r>
    </w:p>
    <w:p w14:paraId="77363BBE">
      <w:pPr>
        <w:spacing w:line="580" w:lineRule="exact"/>
        <w:ind w:firstLine="640"/>
        <w:jc w:val="both"/>
      </w:pPr>
      <w:r>
        <w:rPr>
          <w:rFonts w:ascii="仿宋_GB2312" w:hAnsi="仿宋_GB2312" w:eastAsia="仿宋_GB2312"/>
          <w:b/>
          <w:sz w:val="32"/>
        </w:rPr>
        <w:t>2024年度一般公共预算财政拨款支出15,147.86万元，</w:t>
      </w:r>
      <w:r>
        <w:rPr>
          <w:rFonts w:ascii="仿宋_GB2312" w:hAnsi="仿宋_GB2312" w:eastAsia="仿宋_GB2312"/>
          <w:b w:val="0"/>
          <w:sz w:val="32"/>
        </w:rPr>
        <w:t>占本年支出合计的91.21%。</w:t>
      </w:r>
      <w:r>
        <w:rPr>
          <w:rFonts w:ascii="仿宋_GB2312" w:hAnsi="仿宋_GB2312" w:eastAsia="仿宋_GB2312"/>
          <w:b/>
          <w:sz w:val="32"/>
        </w:rPr>
        <w:t>与上年相比，</w:t>
      </w:r>
      <w:r>
        <w:rPr>
          <w:rFonts w:ascii="仿宋_GB2312" w:hAnsi="仿宋_GB2312" w:eastAsia="仿宋_GB2312"/>
          <w:b w:val="0"/>
          <w:sz w:val="32"/>
        </w:rPr>
        <w:t>减少1,359.62万元，下降8.24%，主要原因是：阿图什市阿胡乡尤喀克买里村，松他克镇，上阿图什镇托卡其拉村桥梁建设项目，阿图什市X373线，X379线养护项目等项目支出减少。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年初预算数12,858.24万元，决算数15,147.86万元，预决算差异率17.81%，主要原因是：年中追加人员工资、社保、公积金基数调增部分资金，</w:t>
      </w:r>
      <w:r>
        <w:rPr>
          <w:rFonts w:hint="eastAsia" w:ascii="仿宋_GB2312" w:hAnsi="仿宋_GB2312" w:eastAsia="仿宋_GB2312"/>
          <w:b w:val="0"/>
          <w:sz w:val="32"/>
          <w:lang w:val="en-US" w:eastAsia="zh-CN"/>
        </w:rPr>
        <w:t>年中追加</w:t>
      </w:r>
      <w:r>
        <w:rPr>
          <w:rFonts w:ascii="仿宋_GB2312" w:hAnsi="仿宋_GB2312" w:eastAsia="仿宋_GB2312"/>
          <w:b w:val="0"/>
          <w:sz w:val="32"/>
        </w:rPr>
        <w:t>草原补偿项目经费，导致预决算差异。</w:t>
      </w:r>
    </w:p>
    <w:p w14:paraId="090C8F7A">
      <w:pPr>
        <w:spacing w:line="640" w:lineRule="exact"/>
        <w:ind w:firstLine="640"/>
        <w:jc w:val="both"/>
        <w:outlineLvl w:val="3"/>
      </w:pPr>
      <w:r>
        <w:rPr>
          <w:rFonts w:ascii="楷体_GB2312" w:hAnsi="楷体_GB2312" w:eastAsia="楷体_GB2312"/>
          <w:b/>
          <w:sz w:val="32"/>
        </w:rPr>
        <w:t>（二）一般公共预算财政拨款支出决算结构情况</w:t>
      </w:r>
    </w:p>
    <w:p w14:paraId="226253C0">
      <w:pPr>
        <w:spacing w:line="580" w:lineRule="exact"/>
        <w:ind w:firstLine="640"/>
        <w:jc w:val="both"/>
      </w:pPr>
      <w:r>
        <w:rPr>
          <w:rFonts w:ascii="仿宋_GB2312" w:hAnsi="仿宋_GB2312" w:eastAsia="仿宋_GB2312"/>
          <w:b w:val="0"/>
          <w:sz w:val="32"/>
        </w:rPr>
        <w:t>1.一般公共服务支出(类)35.92万元</w:t>
      </w:r>
      <w:r>
        <w:rPr>
          <w:rFonts w:hint="eastAsia" w:ascii="仿宋_GB2312" w:hAnsi="仿宋_GB2312" w:eastAsia="仿宋_GB2312"/>
          <w:b w:val="0"/>
          <w:sz w:val="32"/>
          <w:lang w:eastAsia="zh-CN"/>
        </w:rPr>
        <w:t>，</w:t>
      </w:r>
      <w:r>
        <w:rPr>
          <w:rFonts w:ascii="仿宋_GB2312" w:hAnsi="仿宋_GB2312" w:eastAsia="仿宋_GB2312"/>
          <w:b w:val="0"/>
          <w:sz w:val="32"/>
        </w:rPr>
        <w:t>占0.24%。</w:t>
      </w:r>
    </w:p>
    <w:p w14:paraId="08228429">
      <w:pPr>
        <w:spacing w:line="580" w:lineRule="exact"/>
        <w:ind w:firstLine="640"/>
        <w:jc w:val="both"/>
      </w:pPr>
      <w:r>
        <w:rPr>
          <w:rFonts w:ascii="仿宋_GB2312" w:hAnsi="仿宋_GB2312" w:eastAsia="仿宋_GB2312"/>
          <w:b w:val="0"/>
          <w:sz w:val="32"/>
        </w:rPr>
        <w:t>2.公共安全支出(类)328.95万元</w:t>
      </w:r>
      <w:r>
        <w:rPr>
          <w:rFonts w:hint="eastAsia" w:ascii="仿宋_GB2312" w:hAnsi="仿宋_GB2312" w:eastAsia="仿宋_GB2312"/>
          <w:b w:val="0"/>
          <w:sz w:val="32"/>
          <w:lang w:eastAsia="zh-CN"/>
        </w:rPr>
        <w:t>，</w:t>
      </w:r>
      <w:r>
        <w:rPr>
          <w:rFonts w:ascii="仿宋_GB2312" w:hAnsi="仿宋_GB2312" w:eastAsia="仿宋_GB2312"/>
          <w:b w:val="0"/>
          <w:sz w:val="32"/>
        </w:rPr>
        <w:t>占2.17%。</w:t>
      </w:r>
    </w:p>
    <w:p w14:paraId="4C12EB2C">
      <w:pPr>
        <w:spacing w:line="580" w:lineRule="exact"/>
        <w:ind w:firstLine="640"/>
        <w:jc w:val="both"/>
      </w:pPr>
      <w:r>
        <w:rPr>
          <w:rFonts w:ascii="仿宋_GB2312" w:hAnsi="仿宋_GB2312" w:eastAsia="仿宋_GB2312"/>
          <w:b w:val="0"/>
          <w:sz w:val="32"/>
        </w:rPr>
        <w:t>3.社会保障和就业支出(类)66.08万元</w:t>
      </w:r>
      <w:r>
        <w:rPr>
          <w:rFonts w:hint="eastAsia" w:ascii="仿宋_GB2312" w:hAnsi="仿宋_GB2312" w:eastAsia="仿宋_GB2312"/>
          <w:b w:val="0"/>
          <w:sz w:val="32"/>
          <w:lang w:eastAsia="zh-CN"/>
        </w:rPr>
        <w:t>，</w:t>
      </w:r>
      <w:r>
        <w:rPr>
          <w:rFonts w:ascii="仿宋_GB2312" w:hAnsi="仿宋_GB2312" w:eastAsia="仿宋_GB2312"/>
          <w:b w:val="0"/>
          <w:sz w:val="32"/>
        </w:rPr>
        <w:t>占0.44%。</w:t>
      </w:r>
    </w:p>
    <w:p w14:paraId="3D55481B">
      <w:pPr>
        <w:spacing w:line="580" w:lineRule="exact"/>
        <w:ind w:firstLine="640"/>
        <w:jc w:val="both"/>
      </w:pPr>
      <w:r>
        <w:rPr>
          <w:rFonts w:ascii="仿宋_GB2312" w:hAnsi="仿宋_GB2312" w:eastAsia="仿宋_GB2312"/>
          <w:b w:val="0"/>
          <w:sz w:val="32"/>
        </w:rPr>
        <w:t>4.卫生健康支出(类)41.05万元</w:t>
      </w:r>
      <w:r>
        <w:rPr>
          <w:rFonts w:hint="eastAsia" w:ascii="仿宋_GB2312" w:hAnsi="仿宋_GB2312" w:eastAsia="仿宋_GB2312"/>
          <w:b w:val="0"/>
          <w:sz w:val="32"/>
          <w:lang w:eastAsia="zh-CN"/>
        </w:rPr>
        <w:t>，</w:t>
      </w:r>
      <w:r>
        <w:rPr>
          <w:rFonts w:ascii="仿宋_GB2312" w:hAnsi="仿宋_GB2312" w:eastAsia="仿宋_GB2312"/>
          <w:b w:val="0"/>
          <w:sz w:val="32"/>
        </w:rPr>
        <w:t>占0.27%。</w:t>
      </w:r>
    </w:p>
    <w:p w14:paraId="28DCD4ED">
      <w:pPr>
        <w:spacing w:line="580" w:lineRule="exact"/>
        <w:ind w:firstLine="640"/>
        <w:jc w:val="both"/>
      </w:pPr>
      <w:r>
        <w:rPr>
          <w:rFonts w:ascii="仿宋_GB2312" w:hAnsi="仿宋_GB2312" w:eastAsia="仿宋_GB2312"/>
          <w:b w:val="0"/>
          <w:sz w:val="32"/>
        </w:rPr>
        <w:t>5.农林水支出(类)7,974.42万元</w:t>
      </w:r>
      <w:r>
        <w:rPr>
          <w:rFonts w:hint="eastAsia" w:ascii="仿宋_GB2312" w:hAnsi="仿宋_GB2312" w:eastAsia="仿宋_GB2312"/>
          <w:b w:val="0"/>
          <w:sz w:val="32"/>
          <w:lang w:eastAsia="zh-CN"/>
        </w:rPr>
        <w:t>，</w:t>
      </w:r>
      <w:r>
        <w:rPr>
          <w:rFonts w:ascii="仿宋_GB2312" w:hAnsi="仿宋_GB2312" w:eastAsia="仿宋_GB2312"/>
          <w:b w:val="0"/>
          <w:sz w:val="32"/>
        </w:rPr>
        <w:t>占52.64%。</w:t>
      </w:r>
    </w:p>
    <w:p w14:paraId="6BBD1B4B">
      <w:pPr>
        <w:spacing w:line="580" w:lineRule="exact"/>
        <w:ind w:firstLine="640"/>
        <w:jc w:val="both"/>
      </w:pPr>
      <w:r>
        <w:rPr>
          <w:rFonts w:ascii="仿宋_GB2312" w:hAnsi="仿宋_GB2312" w:eastAsia="仿宋_GB2312"/>
          <w:b w:val="0"/>
          <w:sz w:val="32"/>
        </w:rPr>
        <w:t>6.交通运输支出(类)6,564.91万元</w:t>
      </w:r>
      <w:r>
        <w:rPr>
          <w:rFonts w:hint="eastAsia" w:ascii="仿宋_GB2312" w:hAnsi="仿宋_GB2312" w:eastAsia="仿宋_GB2312"/>
          <w:b w:val="0"/>
          <w:sz w:val="32"/>
          <w:lang w:eastAsia="zh-CN"/>
        </w:rPr>
        <w:t>，</w:t>
      </w:r>
      <w:r>
        <w:rPr>
          <w:rFonts w:ascii="仿宋_GB2312" w:hAnsi="仿宋_GB2312" w:eastAsia="仿宋_GB2312"/>
          <w:b w:val="0"/>
          <w:sz w:val="32"/>
        </w:rPr>
        <w:t>占43.34%。</w:t>
      </w:r>
    </w:p>
    <w:p w14:paraId="4ED3A3A7">
      <w:pPr>
        <w:spacing w:line="580" w:lineRule="exact"/>
        <w:ind w:firstLine="640"/>
        <w:jc w:val="both"/>
      </w:pPr>
      <w:r>
        <w:rPr>
          <w:rFonts w:ascii="仿宋_GB2312" w:hAnsi="仿宋_GB2312" w:eastAsia="仿宋_GB2312"/>
          <w:b w:val="0"/>
          <w:sz w:val="32"/>
        </w:rPr>
        <w:t>7.住房保障支出(类)36.52万元</w:t>
      </w:r>
      <w:r>
        <w:rPr>
          <w:rFonts w:hint="eastAsia" w:ascii="仿宋_GB2312" w:hAnsi="仿宋_GB2312" w:eastAsia="仿宋_GB2312"/>
          <w:b w:val="0"/>
          <w:sz w:val="32"/>
          <w:lang w:eastAsia="zh-CN"/>
        </w:rPr>
        <w:t>，</w:t>
      </w:r>
      <w:r>
        <w:rPr>
          <w:rFonts w:ascii="仿宋_GB2312" w:hAnsi="仿宋_GB2312" w:eastAsia="仿宋_GB2312"/>
          <w:b w:val="0"/>
          <w:sz w:val="32"/>
        </w:rPr>
        <w:t>占0.24%。</w:t>
      </w:r>
    </w:p>
    <w:p w14:paraId="2F9DE201">
      <w:pPr>
        <w:spacing w:line="580" w:lineRule="exact"/>
        <w:ind w:firstLine="640"/>
        <w:jc w:val="both"/>
      </w:pPr>
      <w:r>
        <w:rPr>
          <w:rFonts w:ascii="仿宋_GB2312" w:hAnsi="仿宋_GB2312" w:eastAsia="仿宋_GB2312"/>
          <w:b w:val="0"/>
          <w:sz w:val="32"/>
        </w:rPr>
        <w:t>8.其他支出(类)100.00万元</w:t>
      </w:r>
      <w:r>
        <w:rPr>
          <w:rFonts w:hint="eastAsia" w:ascii="仿宋_GB2312" w:hAnsi="仿宋_GB2312" w:eastAsia="仿宋_GB2312"/>
          <w:b w:val="0"/>
          <w:sz w:val="32"/>
          <w:lang w:eastAsia="zh-CN"/>
        </w:rPr>
        <w:t>，</w:t>
      </w:r>
      <w:r>
        <w:rPr>
          <w:rFonts w:ascii="仿宋_GB2312" w:hAnsi="仿宋_GB2312" w:eastAsia="仿宋_GB2312"/>
          <w:b w:val="0"/>
          <w:sz w:val="32"/>
        </w:rPr>
        <w:t>占0.66%。</w:t>
      </w:r>
    </w:p>
    <w:p w14:paraId="5F0DFD12">
      <w:pPr>
        <w:spacing w:line="640" w:lineRule="exact"/>
        <w:ind w:firstLine="640"/>
        <w:jc w:val="both"/>
        <w:outlineLvl w:val="3"/>
      </w:pPr>
      <w:r>
        <w:rPr>
          <w:rFonts w:ascii="楷体_GB2312" w:hAnsi="楷体_GB2312" w:eastAsia="楷体_GB2312"/>
          <w:b/>
          <w:sz w:val="32"/>
        </w:rPr>
        <w:t>（三）一般公共预算财政拨款支出决算具体情况</w:t>
      </w:r>
    </w:p>
    <w:p w14:paraId="447A146A">
      <w:pPr>
        <w:spacing w:line="580" w:lineRule="exact"/>
        <w:ind w:firstLine="640"/>
        <w:jc w:val="both"/>
      </w:pPr>
      <w:r>
        <w:rPr>
          <w:rFonts w:ascii="仿宋_GB2312" w:hAnsi="仿宋_GB2312" w:eastAsia="仿宋_GB2312"/>
          <w:b w:val="0"/>
          <w:sz w:val="32"/>
        </w:rPr>
        <w:t>1.一般公共服务支出(类)人大事务(款)行政运行(项)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支出决算数为30.00万元，比上年决算增加30.00万元，增长100.00%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主要原因是：本年度办公费、印刷费等经费支出增加。</w:t>
      </w:r>
    </w:p>
    <w:p w14:paraId="2FDB4286">
      <w:pPr>
        <w:spacing w:line="580" w:lineRule="exact"/>
        <w:ind w:firstLine="640"/>
        <w:jc w:val="both"/>
      </w:pPr>
      <w:r>
        <w:rPr>
          <w:rFonts w:ascii="仿宋_GB2312" w:hAnsi="仿宋_GB2312" w:eastAsia="仿宋_GB2312"/>
          <w:b w:val="0"/>
          <w:sz w:val="32"/>
        </w:rPr>
        <w:t>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支出决算数为5.92万元，比上年决算减少21.29万元，下降78.24%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主要原因是：本年为民办实事工作经费减少。</w:t>
      </w:r>
    </w:p>
    <w:p w14:paraId="323D08D4">
      <w:pPr>
        <w:spacing w:line="580" w:lineRule="exact"/>
        <w:ind w:firstLine="640"/>
        <w:jc w:val="both"/>
      </w:pPr>
      <w:r>
        <w:rPr>
          <w:rFonts w:ascii="仿宋_GB2312" w:hAnsi="仿宋_GB2312" w:eastAsia="仿宋_GB2312"/>
          <w:b w:val="0"/>
          <w:sz w:val="32"/>
        </w:rPr>
        <w:t>3.公共安全支出(类)司法(款)行政运行(项)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支出决算数为328.95万元，比上年决算增加328.95万元，增长100.00%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主要原因是：本年劳务费、委托业务费支出增加。</w:t>
      </w:r>
    </w:p>
    <w:p w14:paraId="0D842F82">
      <w:pPr>
        <w:spacing w:line="580" w:lineRule="exact"/>
        <w:ind w:firstLine="640"/>
        <w:jc w:val="both"/>
      </w:pPr>
      <w:r>
        <w:rPr>
          <w:rFonts w:ascii="仿宋_GB2312" w:hAnsi="仿宋_GB2312" w:eastAsia="仿宋_GB2312"/>
          <w:b w:val="0"/>
          <w:sz w:val="32"/>
        </w:rPr>
        <w:t>4.社会保障和就业支出(类)行政事业单位养老支出(款)行政单位离退休(项)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支出决算数为11.28万元，比上年决算增加2.03万元，增长21.95%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主要原因是：本年在职1人转退休，退休人员绩效增加，补发上年绩效奖，导致支出增加。</w:t>
      </w:r>
    </w:p>
    <w:p w14:paraId="33221668">
      <w:pPr>
        <w:spacing w:line="580" w:lineRule="exact"/>
        <w:ind w:firstLine="640"/>
        <w:jc w:val="both"/>
      </w:pPr>
      <w:r>
        <w:rPr>
          <w:rFonts w:ascii="仿宋_GB2312" w:hAnsi="仿宋_GB2312" w:eastAsia="仿宋_GB2312"/>
          <w:b w:val="0"/>
          <w:sz w:val="32"/>
        </w:rPr>
        <w:t>5.社会保障和就业支出(类)行政事业单位养老支出(款)事业单位离退休(项)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支出决算数为1.27万元，比上年决算增加0.21万元，增长19.81%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主要原因是：本年退休人员绩效增加，补发上年绩效奖，导致退休费较上年增加。</w:t>
      </w:r>
    </w:p>
    <w:p w14:paraId="1932CC52">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支出决算数为45.34万元，比上年决算增加3.89万元，增长9.38%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14:paraId="327FDF6C">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支出决算数为8.20万元，比上年决算减少5.09万元，下降38.30%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主要原因是：本年新增在职1人转退休较上年减少，导致机关事业单位职业年金缴费支出</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332FE089">
      <w:pPr>
        <w:spacing w:line="580" w:lineRule="exact"/>
        <w:ind w:firstLine="640"/>
        <w:jc w:val="both"/>
      </w:pPr>
      <w:r>
        <w:rPr>
          <w:rFonts w:ascii="仿宋_GB2312" w:hAnsi="仿宋_GB2312" w:eastAsia="仿宋_GB2312"/>
          <w:b w:val="0"/>
          <w:sz w:val="32"/>
        </w:rPr>
        <w:t>8.卫生健康支出(类)公共卫生(款)突发公共卫生事件应急处置(项)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支出决算数为24.09万元，比上年决算增加24.09万元，增长100.00%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主要原因是：本年突发公共卫生事件应急处置项目经费增加，导致此科目经费增加。</w:t>
      </w:r>
    </w:p>
    <w:p w14:paraId="728C0340">
      <w:pPr>
        <w:spacing w:line="580" w:lineRule="exact"/>
        <w:ind w:firstLine="640"/>
        <w:jc w:val="both"/>
      </w:pPr>
      <w:r>
        <w:rPr>
          <w:rFonts w:ascii="仿宋_GB2312" w:hAnsi="仿宋_GB2312" w:eastAsia="仿宋_GB2312"/>
          <w:b w:val="0"/>
          <w:sz w:val="32"/>
        </w:rPr>
        <w:t>9.卫生健康支出(类)行政事业单位医疗(款)行政单位医疗(项)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支出决算数为13.85万元，比上年决算增加1.68万元，增长13.80%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563C723A">
      <w:pPr>
        <w:spacing w:line="580" w:lineRule="exact"/>
        <w:ind w:firstLine="640"/>
        <w:jc w:val="both"/>
      </w:pPr>
      <w:r>
        <w:rPr>
          <w:rFonts w:ascii="仿宋_GB2312" w:hAnsi="仿宋_GB2312" w:eastAsia="仿宋_GB2312"/>
          <w:b w:val="0"/>
          <w:sz w:val="32"/>
        </w:rPr>
        <w:t>10.卫生健康支出(类)行政事业单位医疗(款)事业单位医疗(项)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支出决算数为3.11万元，比上年决算增加0.47万元，增长17.80%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2295C13A">
      <w:pPr>
        <w:spacing w:line="580" w:lineRule="exact"/>
        <w:ind w:firstLine="640"/>
        <w:jc w:val="both"/>
      </w:pPr>
      <w:r>
        <w:rPr>
          <w:rFonts w:ascii="仿宋_GB2312" w:hAnsi="仿宋_GB2312" w:eastAsia="仿宋_GB2312"/>
          <w:b w:val="0"/>
          <w:sz w:val="32"/>
        </w:rPr>
        <w:t>11.城乡社区支出(类)其他城乡社区支出(款)其他城乡社区支出(项)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支出决算数为0.00万元，比上年决算减少2,705.63万元，下降100.00%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主要原因是：本年度减少阿图什市2017年交通基础设施建设项目。</w:t>
      </w:r>
    </w:p>
    <w:p w14:paraId="3EC1C045">
      <w:pPr>
        <w:spacing w:line="580" w:lineRule="exact"/>
        <w:ind w:firstLine="640"/>
        <w:jc w:val="both"/>
      </w:pPr>
      <w:r>
        <w:rPr>
          <w:rFonts w:ascii="仿宋_GB2312" w:hAnsi="仿宋_GB2312" w:eastAsia="仿宋_GB2312"/>
          <w:b w:val="0"/>
          <w:sz w:val="32"/>
        </w:rPr>
        <w:t>12.农林水支出(类)水利(款)其他水利支出(项)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支出决算数为0.00万元，比上年决算减少14.21万元，下降100.00%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主要原因是：本年度减少阿图什市现代畜牧产业园道路工程建设项目资金。</w:t>
      </w:r>
    </w:p>
    <w:p w14:paraId="660F9F44">
      <w:pPr>
        <w:spacing w:line="580" w:lineRule="exact"/>
        <w:ind w:firstLine="640"/>
        <w:jc w:val="both"/>
      </w:pPr>
      <w:r>
        <w:rPr>
          <w:rFonts w:ascii="仿宋_GB2312" w:hAnsi="仿宋_GB2312" w:eastAsia="仿宋_GB2312"/>
          <w:b w:val="0"/>
          <w:sz w:val="32"/>
        </w:rPr>
        <w:t>13.农林水支出(类)巩固脱贫攻坚成果衔接乡村振兴(款)农村基础设施建设(项)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支出决算数为1,043.38万元，比上年决算增加1,004.72万元，增长2,598.86%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主要原因是：本年度增加阿图什市现代畜牧产业园道路工程建设项目。</w:t>
      </w:r>
    </w:p>
    <w:p w14:paraId="4E7FCD09">
      <w:pPr>
        <w:spacing w:line="580" w:lineRule="exact"/>
        <w:ind w:firstLine="640"/>
        <w:jc w:val="both"/>
      </w:pPr>
      <w:r>
        <w:rPr>
          <w:rFonts w:ascii="仿宋_GB2312" w:hAnsi="仿宋_GB2312" w:eastAsia="仿宋_GB2312"/>
          <w:b w:val="0"/>
          <w:sz w:val="32"/>
        </w:rPr>
        <w:t>14.农林水支出(类)巩固脱贫攻坚成果衔接乡村振兴(款)生产发展(项)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支出决算数为1,648.19万元，比上年决算减少4,314.96万元，下降72.36%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主要原因是：本年度减少阿图什市阿胡乡尤喀克买里村，松他克镇，上阿图什镇托卡其拉村桥梁建设项目经费。</w:t>
      </w:r>
    </w:p>
    <w:p w14:paraId="3F069958">
      <w:pPr>
        <w:spacing w:line="580" w:lineRule="exact"/>
        <w:ind w:firstLine="640"/>
        <w:jc w:val="both"/>
      </w:pPr>
      <w:r>
        <w:rPr>
          <w:rFonts w:ascii="仿宋_GB2312" w:hAnsi="仿宋_GB2312" w:eastAsia="仿宋_GB2312"/>
          <w:b w:val="0"/>
          <w:sz w:val="32"/>
        </w:rPr>
        <w:t>15.农林水支出(类)巩固脱贫攻坚成果衔接乡村振兴(款)其他巩固脱贫攻坚成果衔接乡村振兴支出(项)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支出决算数为5,282.85万元，比上年决算增加5,282.85万元，增长100.00%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主要原因是：本年度增加关于提前下达2024年中央财政衔接推进乡村振兴补助资金预算的通知的项目经费。</w:t>
      </w:r>
    </w:p>
    <w:p w14:paraId="6D6FDF41">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16.交通运输支出(类)公路水路运输(款)行政运行(项)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支出决算数为570.81万元，比上年决算增加278.24万元，增长95.10%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增加税金及附加费用等经费，导致相关经费增加。</w:t>
      </w:r>
    </w:p>
    <w:p w14:paraId="0AC4F324">
      <w:pPr>
        <w:spacing w:line="580" w:lineRule="exact"/>
        <w:ind w:firstLine="640"/>
        <w:jc w:val="both"/>
      </w:pPr>
      <w:r>
        <w:rPr>
          <w:rFonts w:ascii="仿宋_GB2312" w:hAnsi="仿宋_GB2312" w:eastAsia="仿宋_GB2312"/>
          <w:b w:val="0"/>
          <w:sz w:val="32"/>
        </w:rPr>
        <w:t>17.交通运输支出(类)公路水路运输(款)公路建设(项)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支出决算数为2,701.47万元，比上年决算增加2,701.47万元，增长100.00%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主要原因是：本年度增加关于下达车辆购置税补助地方（第二批）资金经费。</w:t>
      </w:r>
    </w:p>
    <w:p w14:paraId="6CFA97DE">
      <w:pPr>
        <w:spacing w:line="580" w:lineRule="exact"/>
        <w:ind w:firstLine="640"/>
        <w:jc w:val="both"/>
      </w:pPr>
      <w:r>
        <w:rPr>
          <w:rFonts w:ascii="仿宋_GB2312" w:hAnsi="仿宋_GB2312" w:eastAsia="仿宋_GB2312"/>
          <w:b w:val="0"/>
          <w:sz w:val="32"/>
        </w:rPr>
        <w:t>18.交通运输支出(类)公路水路运输(款)公路养护(项)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支出决算数为2,603.54万元，比上年决算增加138.58万元，增长5.62%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主要原因是：本年度增加阿图什市X373线养护项目经费。</w:t>
      </w:r>
    </w:p>
    <w:p w14:paraId="53B715F3">
      <w:pPr>
        <w:spacing w:line="580" w:lineRule="exact"/>
        <w:ind w:firstLine="640"/>
        <w:jc w:val="both"/>
      </w:pPr>
      <w:r>
        <w:rPr>
          <w:rFonts w:ascii="仿宋_GB2312" w:hAnsi="仿宋_GB2312" w:eastAsia="仿宋_GB2312"/>
          <w:b w:val="0"/>
          <w:sz w:val="32"/>
        </w:rPr>
        <w:t>19.交通运输支出(类)公路水路运输(款)其他公路水路运输支出(项)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支出决算数为203.87万元，比上年决算减少87.28万元，下降29.98%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主要原因是：本年度减少农村客运补贴及城市交通奖励资金标准。</w:t>
      </w:r>
    </w:p>
    <w:p w14:paraId="5BB694A4">
      <w:pPr>
        <w:spacing w:line="580" w:lineRule="exact"/>
        <w:ind w:firstLine="640"/>
        <w:jc w:val="both"/>
      </w:pPr>
      <w:r>
        <w:rPr>
          <w:rFonts w:ascii="仿宋_GB2312" w:hAnsi="仿宋_GB2312" w:eastAsia="仿宋_GB2312"/>
          <w:b w:val="0"/>
          <w:sz w:val="32"/>
        </w:rPr>
        <w:t>20.交通运输支出(类)车辆购置税支出(款)车辆购置税用于公路等基础设施建设支出(项)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支出决算数为0.00万元，比上年决算减少4,024.60万元，下降100.00%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主要原因是：本年度减少阿图什市抵边自然村道路建设项目资金。</w:t>
      </w:r>
    </w:p>
    <w:p w14:paraId="426413C1">
      <w:pPr>
        <w:spacing w:line="580" w:lineRule="exact"/>
        <w:ind w:firstLine="640"/>
        <w:jc w:val="both"/>
      </w:pPr>
      <w:r>
        <w:rPr>
          <w:rFonts w:ascii="仿宋_GB2312" w:hAnsi="仿宋_GB2312" w:eastAsia="仿宋_GB2312"/>
          <w:b w:val="0"/>
          <w:sz w:val="32"/>
        </w:rPr>
        <w:t>21.交通运输支出(类)车辆购置税支出(款)车辆购置税用于农村公路建设支出(项)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支出决算数为0.00万元，比上年决算减少233.43万元，下降100.00%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主要原因是：本年度农村公路安全生命防护工程项目完工，导致此经费减少。</w:t>
      </w:r>
    </w:p>
    <w:p w14:paraId="72DA6284">
      <w:pPr>
        <w:spacing w:line="580" w:lineRule="exact"/>
        <w:ind w:firstLine="640"/>
        <w:jc w:val="both"/>
      </w:pPr>
      <w:r>
        <w:rPr>
          <w:rFonts w:ascii="仿宋_GB2312" w:hAnsi="仿宋_GB2312" w:eastAsia="仿宋_GB2312"/>
          <w:b w:val="0"/>
          <w:sz w:val="32"/>
        </w:rPr>
        <w:t>22.交通运输支出(类)车辆购置税支出(款)车辆购置税其他支出(项)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支出决算数为0.00万元，比上年决算减少19.86万元，下降100.00%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主要原因是：本年度克州平原林场克青孜分场—新苗圃道路建设项目支出减少，导致此经费减少。</w:t>
      </w:r>
    </w:p>
    <w:p w14:paraId="589747A3">
      <w:pPr>
        <w:spacing w:line="580" w:lineRule="exact"/>
        <w:ind w:firstLine="640"/>
        <w:jc w:val="both"/>
      </w:pPr>
      <w:r>
        <w:rPr>
          <w:rFonts w:ascii="仿宋_GB2312" w:hAnsi="仿宋_GB2312" w:eastAsia="仿宋_GB2312"/>
          <w:b w:val="0"/>
          <w:sz w:val="32"/>
        </w:rPr>
        <w:t>23.交通运输支出(类)其他交通运输支出(款)公共交通运营补助(项)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支出决算数为409.69万元，比上年决算增加97.75万元，增长31.34%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主要原因是：本年度增加给公交公司运营补助资金。</w:t>
      </w:r>
    </w:p>
    <w:p w14:paraId="148FD4BD">
      <w:pPr>
        <w:spacing w:line="580" w:lineRule="exact"/>
        <w:ind w:firstLine="640"/>
        <w:jc w:val="both"/>
      </w:pPr>
      <w:r>
        <w:rPr>
          <w:rFonts w:ascii="仿宋_GB2312" w:hAnsi="仿宋_GB2312" w:eastAsia="仿宋_GB2312"/>
          <w:b w:val="0"/>
          <w:sz w:val="32"/>
        </w:rPr>
        <w:t>24.交通运输支出(类)其他交通运输支出(款)其他交通运输支出(项)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支出决算数为75.54万元，比上年决算增加69.77万元，增长1,209.19%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主要原因是：本年度增加城市公交油价补贴及农村油价补贴资金。</w:t>
      </w:r>
    </w:p>
    <w:p w14:paraId="429C41E0">
      <w:pPr>
        <w:spacing w:line="580" w:lineRule="exact"/>
        <w:ind w:firstLine="640"/>
        <w:jc w:val="both"/>
      </w:pPr>
      <w:r>
        <w:rPr>
          <w:rFonts w:ascii="仿宋_GB2312" w:hAnsi="仿宋_GB2312" w:eastAsia="仿宋_GB2312"/>
          <w:b w:val="0"/>
          <w:sz w:val="32"/>
        </w:rPr>
        <w:t>25.住房保障支出(类)住房改革支出(款)住房公积金(项)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支出决算数为36.52万元，比上年决算增加2.03万元，增长5.89%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主要原因是：本年在职人员增加，住房公积金支出增加。</w:t>
      </w:r>
    </w:p>
    <w:p w14:paraId="2AFEDFB6">
      <w:pPr>
        <w:spacing w:line="580" w:lineRule="exact"/>
        <w:ind w:firstLine="640"/>
        <w:jc w:val="both"/>
      </w:pPr>
      <w:r>
        <w:rPr>
          <w:rFonts w:ascii="仿宋_GB2312" w:hAnsi="仿宋_GB2312" w:eastAsia="仿宋_GB2312"/>
          <w:b w:val="0"/>
          <w:sz w:val="32"/>
        </w:rPr>
        <w:t>26.其他支出(类)其他支出(款)其他支出(项)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支出决算数为100.00万元，比上年决算增加100.00万元，增长100.00%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主要原因是：本年度增加2020年阿图什市农村公路安全生命防护工程勘察设计，施工总承包资金。</w:t>
      </w:r>
    </w:p>
    <w:p w14:paraId="6B22B014">
      <w:pPr>
        <w:spacing w:line="640" w:lineRule="exact"/>
        <w:ind w:firstLine="640"/>
        <w:jc w:val="both"/>
        <w:outlineLvl w:val="2"/>
      </w:pPr>
      <w:r>
        <w:rPr>
          <w:rFonts w:ascii="黑体" w:hAnsi="黑体" w:eastAsia="黑体"/>
          <w:sz w:val="32"/>
        </w:rPr>
        <w:t>六、一般公共预算财政拨款基本支出决算情况说明</w:t>
      </w:r>
    </w:p>
    <w:p w14:paraId="574D700F">
      <w:pPr>
        <w:spacing w:line="580" w:lineRule="exact"/>
        <w:ind w:firstLine="640"/>
        <w:jc w:val="both"/>
      </w:pPr>
      <w:r>
        <w:rPr>
          <w:rFonts w:ascii="仿宋_GB2312" w:hAnsi="仿宋_GB2312" w:eastAsia="仿宋_GB2312"/>
          <w:b w:val="0"/>
          <w:sz w:val="32"/>
        </w:rPr>
        <w:t>2024年度一般公共预算财政拨款基本支出1,153.19万元，其中：</w:t>
      </w:r>
      <w:r>
        <w:rPr>
          <w:rFonts w:ascii="仿宋_GB2312" w:hAnsi="仿宋_GB2312" w:eastAsia="仿宋_GB2312"/>
          <w:b/>
          <w:sz w:val="32"/>
        </w:rPr>
        <w:t>人员经费492.04万元，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357DC383">
      <w:pPr>
        <w:spacing w:line="580" w:lineRule="exact"/>
        <w:ind w:firstLine="640"/>
        <w:jc w:val="both"/>
      </w:pPr>
      <w:r>
        <w:rPr>
          <w:rFonts w:ascii="仿宋_GB2312" w:hAnsi="仿宋_GB2312" w:eastAsia="仿宋_GB2312"/>
          <w:b/>
          <w:sz w:val="32"/>
        </w:rPr>
        <w:t>公用经费661.15万元，</w:t>
      </w:r>
      <w:r>
        <w:rPr>
          <w:rFonts w:ascii="仿宋_GB2312" w:hAnsi="仿宋_GB2312" w:eastAsia="仿宋_GB2312"/>
          <w:b w:val="0"/>
          <w:sz w:val="32"/>
        </w:rPr>
        <w:t>包括：办公费、印刷费、邮电费、差旅费、维修（护）费、劳务费、委托业务费、公务用车运行维护费、税金及附加费用、办公设备购置。</w:t>
      </w:r>
    </w:p>
    <w:p w14:paraId="79C1EB3C">
      <w:pPr>
        <w:spacing w:line="640" w:lineRule="exact"/>
        <w:ind w:firstLine="640"/>
        <w:jc w:val="both"/>
        <w:outlineLvl w:val="2"/>
      </w:pPr>
      <w:r>
        <w:rPr>
          <w:rFonts w:ascii="黑体" w:hAnsi="黑体" w:eastAsia="黑体"/>
          <w:sz w:val="32"/>
        </w:rPr>
        <w:t>七、政府性基金预算财政拨款收入支出决算情况说明</w:t>
      </w:r>
    </w:p>
    <w:p w14:paraId="0574A40E">
      <w:pPr>
        <w:spacing w:line="580" w:lineRule="exact"/>
        <w:ind w:firstLine="640"/>
        <w:jc w:val="both"/>
      </w:pPr>
      <w:r>
        <w:rPr>
          <w:rFonts w:ascii="仿宋_GB2312" w:hAnsi="仿宋_GB2312" w:eastAsia="仿宋_GB2312"/>
          <w:b/>
          <w:sz w:val="32"/>
        </w:rPr>
        <w:t>2024年度政府性基金预算财政拨款收入总计376.17万元，</w:t>
      </w:r>
      <w:r>
        <w:rPr>
          <w:rFonts w:ascii="仿宋_GB2312" w:hAnsi="仿宋_GB2312" w:eastAsia="仿宋_GB2312"/>
          <w:b w:val="0"/>
          <w:sz w:val="32"/>
        </w:rPr>
        <w:t>其中：年初结转和结余0.00万元，本年收入376.17万元。</w:t>
      </w:r>
      <w:r>
        <w:rPr>
          <w:rFonts w:ascii="仿宋_GB2312" w:hAnsi="仿宋_GB2312" w:eastAsia="仿宋_GB2312"/>
          <w:b/>
          <w:sz w:val="32"/>
        </w:rPr>
        <w:t>政府性基金预算财政拨款支出总计376.17万元，</w:t>
      </w:r>
      <w:r>
        <w:rPr>
          <w:rFonts w:ascii="仿宋_GB2312" w:hAnsi="仿宋_GB2312" w:eastAsia="仿宋_GB2312"/>
          <w:b w:val="0"/>
          <w:sz w:val="32"/>
        </w:rPr>
        <w:t>其中：年末结转和结余0.00万元，本年支出376.17万元。</w:t>
      </w:r>
    </w:p>
    <w:p w14:paraId="4D3BB4D4">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减少923.83万元，下降71.06%，主要原因是：本年度减少2023年度其他地方自行试点项目收益专项债券收入</w:t>
      </w:r>
      <w:r>
        <w:rPr>
          <w:rFonts w:hint="eastAsia" w:ascii="仿宋_GB2312" w:hAnsi="仿宋_GB2312" w:eastAsia="仿宋_GB2312"/>
          <w:b w:val="0"/>
          <w:sz w:val="32"/>
          <w:lang w:eastAsia="zh-CN"/>
        </w:rPr>
        <w:t>安排的</w:t>
      </w:r>
      <w:r>
        <w:rPr>
          <w:rFonts w:ascii="仿宋_GB2312" w:hAnsi="仿宋_GB2312" w:eastAsia="仿宋_GB2312"/>
          <w:b w:val="0"/>
          <w:sz w:val="32"/>
        </w:rPr>
        <w:t>阿图什市2017年农村公路建设地下自来水管网项目。</w:t>
      </w:r>
      <w:r>
        <w:rPr>
          <w:rFonts w:ascii="仿宋_GB2312" w:hAnsi="仿宋_GB2312" w:eastAsia="仿宋_GB2312"/>
          <w:b/>
          <w:sz w:val="32"/>
        </w:rPr>
        <w:t>与年初预算相比，</w:t>
      </w:r>
      <w:r>
        <w:rPr>
          <w:rFonts w:ascii="仿宋_GB2312" w:hAnsi="仿宋_GB2312" w:eastAsia="仿宋_GB2312"/>
          <w:b w:val="0"/>
          <w:sz w:val="32"/>
        </w:rPr>
        <w:t>年初预算数0.00万元，决算数376.17万元，预决算差异率100.00%，主要原因是：年中追加项目征建的草原补偿和安置补偿、货物运车以旧换新项目补助。</w:t>
      </w:r>
    </w:p>
    <w:p w14:paraId="3C20F39A">
      <w:pPr>
        <w:spacing w:line="580" w:lineRule="exact"/>
        <w:ind w:firstLine="640"/>
        <w:jc w:val="both"/>
      </w:pPr>
      <w:r>
        <w:rPr>
          <w:rFonts w:ascii="仿宋_GB2312" w:hAnsi="仿宋_GB2312" w:eastAsia="仿宋_GB2312"/>
          <w:b w:val="0"/>
          <w:sz w:val="32"/>
        </w:rPr>
        <w:t>政府性基金预算财政拨款支出376.17万元。</w:t>
      </w:r>
    </w:p>
    <w:p w14:paraId="1B464ABC">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支出决算数为18.57万元，比上年决算增加18.57万元，增长100.00%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主要原因是：本年度增加项目征建的草原补偿和安置补偿。</w:t>
      </w:r>
    </w:p>
    <w:p w14:paraId="58446BDC">
      <w:pPr>
        <w:spacing w:line="580" w:lineRule="exact"/>
        <w:ind w:firstLine="640"/>
        <w:jc w:val="both"/>
      </w:pPr>
      <w:r>
        <w:rPr>
          <w:rFonts w:ascii="仿宋_GB2312" w:hAnsi="仿宋_GB2312" w:eastAsia="仿宋_GB2312"/>
          <w:b w:val="0"/>
          <w:sz w:val="32"/>
        </w:rPr>
        <w:t>2.资源勘探工业信息等支出(类)超长期特别国债安排的支出(款)制造业(项)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支出决算数为357.60万元，比上年决算增加357.60万元，增长100.00%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主要原因是：本年度增加货物运车以旧换新项目补助。</w:t>
      </w:r>
    </w:p>
    <w:p w14:paraId="72999D5E">
      <w:pPr>
        <w:spacing w:line="580" w:lineRule="exact"/>
        <w:ind w:firstLine="640"/>
        <w:jc w:val="both"/>
      </w:pPr>
      <w:r>
        <w:rPr>
          <w:rFonts w:ascii="仿宋_GB2312" w:hAnsi="仿宋_GB2312" w:eastAsia="仿宋_GB2312"/>
          <w:b w:val="0"/>
          <w:sz w:val="32"/>
        </w:rPr>
        <w:t>3.其他支出(类)其他政府性基金及对应专项债务收入安排的支出(款)其他地方自行试点项目收益专项债券收入安排的支出(项)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支出决算数为0.00万元，比上年决算减少1,300.00万元，下降100.00%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主要原因是：本年度减少2023年度其他地方自行试点项目收益专项债券收入</w:t>
      </w:r>
      <w:r>
        <w:rPr>
          <w:rFonts w:hint="eastAsia" w:ascii="仿宋_GB2312" w:hAnsi="仿宋_GB2312" w:eastAsia="仿宋_GB2312"/>
          <w:b w:val="0"/>
          <w:sz w:val="32"/>
          <w:lang w:eastAsia="zh-CN"/>
        </w:rPr>
        <w:t>安排的</w:t>
      </w:r>
      <w:r>
        <w:rPr>
          <w:rFonts w:ascii="仿宋_GB2312" w:hAnsi="仿宋_GB2312" w:eastAsia="仿宋_GB2312"/>
          <w:b w:val="0"/>
          <w:sz w:val="32"/>
        </w:rPr>
        <w:t>阿图什市2017年农村公路建设地下自来水管网项目。</w:t>
      </w:r>
    </w:p>
    <w:p w14:paraId="5320BBF4">
      <w:pPr>
        <w:spacing w:line="640" w:lineRule="exact"/>
        <w:ind w:firstLine="640"/>
        <w:jc w:val="both"/>
        <w:outlineLvl w:val="2"/>
      </w:pPr>
      <w:r>
        <w:rPr>
          <w:rFonts w:ascii="黑体" w:hAnsi="黑体" w:eastAsia="黑体"/>
          <w:sz w:val="32"/>
        </w:rPr>
        <w:t>八、国有资本经营预算财政拨款收入支出决算情况说明</w:t>
      </w:r>
    </w:p>
    <w:p w14:paraId="7731C17B">
      <w:pPr>
        <w:spacing w:line="580" w:lineRule="exact"/>
        <w:ind w:firstLine="640"/>
        <w:jc w:val="both"/>
      </w:pPr>
      <w:r>
        <w:rPr>
          <w:rFonts w:ascii="仿宋_GB2312" w:hAnsi="仿宋_GB2312" w:eastAsia="仿宋_GB2312"/>
          <w:b/>
          <w:sz w:val="32"/>
        </w:rPr>
        <w:t>2024年度国有资本经营预算财政拨款收入总计300.00万元，</w:t>
      </w:r>
      <w:r>
        <w:rPr>
          <w:rFonts w:ascii="仿宋_GB2312" w:hAnsi="仿宋_GB2312" w:eastAsia="仿宋_GB2312"/>
          <w:b w:val="0"/>
          <w:sz w:val="32"/>
        </w:rPr>
        <w:t>其中：年初结转和结余0.00万元，本年收入300.00万元。</w:t>
      </w:r>
      <w:r>
        <w:rPr>
          <w:rFonts w:ascii="仿宋_GB2312" w:hAnsi="仿宋_GB2312" w:eastAsia="仿宋_GB2312"/>
          <w:b/>
          <w:sz w:val="32"/>
        </w:rPr>
        <w:t>国有资本经营预算财政拨款支出总计300.00万元，</w:t>
      </w:r>
      <w:r>
        <w:rPr>
          <w:rFonts w:ascii="仿宋_GB2312" w:hAnsi="仿宋_GB2312" w:eastAsia="仿宋_GB2312"/>
          <w:b w:val="0"/>
          <w:sz w:val="32"/>
        </w:rPr>
        <w:t>其中：年末结转和结余0.00万元，本年支出300.00万元。</w:t>
      </w:r>
    </w:p>
    <w:p w14:paraId="737E8097">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增加300.00万元，增长100.00%，主要原因是：本年度增加公益性群体人员一次性票价补贴。</w:t>
      </w:r>
      <w:r>
        <w:rPr>
          <w:rFonts w:ascii="仿宋_GB2312" w:hAnsi="仿宋_GB2312" w:eastAsia="仿宋_GB2312"/>
          <w:b/>
          <w:sz w:val="32"/>
        </w:rPr>
        <w:t>与年初预算相比，</w:t>
      </w:r>
      <w:r>
        <w:rPr>
          <w:rFonts w:ascii="仿宋_GB2312" w:hAnsi="仿宋_GB2312" w:eastAsia="仿宋_GB2312"/>
          <w:b w:val="0"/>
          <w:sz w:val="32"/>
        </w:rPr>
        <w:t>年初预算数0.00万元，决算数300.00万元，预决算差异率100.00%，主要原因是：年中追加一个公益性群体人员一次性票价补贴项目。</w:t>
      </w:r>
    </w:p>
    <w:p w14:paraId="6C9B407D">
      <w:pPr>
        <w:spacing w:line="580" w:lineRule="exact"/>
        <w:ind w:firstLine="640"/>
        <w:jc w:val="both"/>
      </w:pPr>
      <w:r>
        <w:rPr>
          <w:rFonts w:ascii="仿宋_GB2312" w:hAnsi="仿宋_GB2312" w:eastAsia="仿宋_GB2312"/>
          <w:sz w:val="32"/>
        </w:rPr>
        <w:t>国有资本经营预算财政拨款支出300.00万元。</w:t>
      </w:r>
    </w:p>
    <w:p w14:paraId="44D4AF89">
      <w:pPr>
        <w:spacing w:line="580" w:lineRule="exact"/>
        <w:ind w:firstLine="640"/>
        <w:jc w:val="both"/>
      </w:pPr>
      <w:r>
        <w:rPr>
          <w:rFonts w:ascii="仿宋_GB2312" w:hAnsi="仿宋_GB2312" w:eastAsia="仿宋_GB2312"/>
          <w:b w:val="0"/>
          <w:sz w:val="32"/>
        </w:rPr>
        <w:t>1.国有资本经营预算支出(类)其他国有资本经营预算支出(款)其他国有资本经营预算支出(项)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支出决算数为300.00万元，比上年决算增加300.00万元，增长100.00%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主要原因是：本年度增加公益性群体人员一次性票价补贴。</w:t>
      </w:r>
    </w:p>
    <w:p w14:paraId="15A1561D">
      <w:pPr>
        <w:spacing w:line="640" w:lineRule="exact"/>
        <w:ind w:firstLine="640"/>
        <w:jc w:val="both"/>
        <w:outlineLvl w:val="2"/>
      </w:pPr>
      <w:r>
        <w:rPr>
          <w:rFonts w:ascii="黑体" w:hAnsi="黑体" w:eastAsia="黑体"/>
          <w:sz w:val="32"/>
        </w:rPr>
        <w:t>九、财政拨款“三公”经费支出决算情况说明</w:t>
      </w:r>
    </w:p>
    <w:p w14:paraId="384915D1">
      <w:pPr>
        <w:spacing w:line="580" w:lineRule="exact"/>
        <w:ind w:firstLine="640"/>
        <w:jc w:val="both"/>
      </w:pPr>
      <w:r>
        <w:rPr>
          <w:rFonts w:ascii="仿宋_GB2312" w:hAnsi="仿宋_GB2312" w:eastAsia="仿宋_GB2312"/>
          <w:b/>
          <w:sz w:val="32"/>
        </w:rPr>
        <w:t>2024年度财政拨款“三公”经费支出5.29万元，</w:t>
      </w:r>
      <w:r>
        <w:rPr>
          <w:rFonts w:ascii="仿宋_GB2312" w:hAnsi="仿宋_GB2312" w:eastAsia="仿宋_GB2312"/>
          <w:b w:val="0"/>
          <w:sz w:val="32"/>
        </w:rPr>
        <w:t>比上年增加0.49万元，增长10.21%，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5.29万元，占100.00%，比上年增加0.49万元，增长10.21%，主要原因是：本年因业务需求，用车次数增加，燃油费增加，导致公务用车运行维护费较上年增加。公务接待费支出0.00万元，占0.00%，比上年增加0.00万元，增长0.00%，主要原因是：2023年与2024年均未安排公务接待费支出。</w:t>
      </w:r>
    </w:p>
    <w:p w14:paraId="731347C2">
      <w:pPr>
        <w:spacing w:line="580" w:lineRule="exact"/>
        <w:ind w:firstLine="640"/>
        <w:jc w:val="both"/>
      </w:pPr>
      <w:r>
        <w:rPr>
          <w:rFonts w:ascii="仿宋_GB2312" w:hAnsi="仿宋_GB2312" w:eastAsia="仿宋_GB2312"/>
          <w:b/>
          <w:sz w:val="32"/>
        </w:rPr>
        <w:t>具体情况如下：</w:t>
      </w:r>
    </w:p>
    <w:p w14:paraId="253A50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152547F">
      <w:pPr>
        <w:spacing w:line="580" w:lineRule="exact"/>
        <w:ind w:firstLine="640"/>
        <w:jc w:val="both"/>
      </w:pPr>
      <w:r>
        <w:rPr>
          <w:rFonts w:ascii="仿宋_GB2312" w:hAnsi="仿宋_GB2312" w:eastAsia="仿宋_GB2312"/>
          <w:b w:val="0"/>
          <w:sz w:val="32"/>
        </w:rPr>
        <w:t>公务用车购置及运行维护费5.29万元，其中：公务用车购置费0.00万元，公务用车运行维护费5.29万元。公务用车运行维护费开支内容包括车辆加油费、维修费。公务用车购置数0辆，公务用车保有量4辆。国有资产占用情况中固定资产车辆4辆，与公务用车保有量差异原因是：本单位固定资产车辆与公务用车保有量一致无差异。</w:t>
      </w:r>
    </w:p>
    <w:p w14:paraId="00ED436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43A99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5.29万元，决算数5.29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5.29万元，决算数5.29万元，预决算差异率0.00%，主要原因是：严格按照预算执行，预决算无差异。公务接待费全年预算数0.00万元，决算数0.00万元，预决算差异率0.00%，主要原因是：本单位无公务接待费。</w:t>
      </w:r>
    </w:p>
    <w:p w14:paraId="1E012890">
      <w:pPr>
        <w:spacing w:line="640" w:lineRule="exact"/>
        <w:ind w:firstLine="640"/>
        <w:jc w:val="both"/>
        <w:outlineLvl w:val="2"/>
      </w:pPr>
      <w:r>
        <w:rPr>
          <w:rFonts w:ascii="黑体" w:hAnsi="黑体" w:eastAsia="黑体"/>
          <w:sz w:val="32"/>
        </w:rPr>
        <w:t>十、其他重要事项的情况说明</w:t>
      </w:r>
    </w:p>
    <w:p w14:paraId="6B40E973">
      <w:pPr>
        <w:spacing w:line="640" w:lineRule="exact"/>
        <w:ind w:firstLine="640"/>
        <w:jc w:val="both"/>
        <w:outlineLvl w:val="3"/>
      </w:pPr>
      <w:r>
        <w:rPr>
          <w:rFonts w:ascii="楷体_GB2312" w:hAnsi="楷体_GB2312" w:eastAsia="楷体_GB2312"/>
          <w:b/>
          <w:sz w:val="32"/>
        </w:rPr>
        <w:t>（一）机关运行经费及公用经费支出情况</w:t>
      </w:r>
    </w:p>
    <w:p w14:paraId="0E85ABE9">
      <w:pPr>
        <w:spacing w:line="580" w:lineRule="exact"/>
        <w:ind w:firstLine="640"/>
        <w:jc w:val="both"/>
      </w:pPr>
      <w:r>
        <w:rPr>
          <w:rFonts w:ascii="仿宋_GB2312" w:hAnsi="仿宋_GB2312" w:eastAsia="仿宋_GB2312"/>
          <w:b w:val="0"/>
          <w:sz w:val="32"/>
        </w:rPr>
        <w:t>2024年度阿图什市交通运输局（行政单位和参照公务员法管理事业单位）机关运行经费支出661.15万元，比上年增加446.41万元，增长207.88%，主要原因是：本年业务量增加，办公费、专用材料费、劳务费、公务用车运行及维护费、办公设备购置费</w:t>
      </w:r>
      <w:r>
        <w:rPr>
          <w:rFonts w:hint="eastAsia" w:ascii="仿宋_GB2312" w:hAnsi="仿宋_GB2312" w:eastAsia="仿宋_GB2312"/>
          <w:b w:val="0"/>
          <w:sz w:val="32"/>
          <w:lang w:eastAsia="zh-CN"/>
        </w:rPr>
        <w:t>、</w:t>
      </w:r>
      <w:r>
        <w:rPr>
          <w:rFonts w:ascii="仿宋_GB2312" w:hAnsi="仿宋_GB2312" w:eastAsia="仿宋_GB2312"/>
          <w:b w:val="0"/>
          <w:sz w:val="32"/>
        </w:rPr>
        <w:t>税金及附加费用等增加。</w:t>
      </w:r>
    </w:p>
    <w:p w14:paraId="48D1EDC1">
      <w:pPr>
        <w:spacing w:line="640" w:lineRule="exact"/>
        <w:ind w:firstLine="640"/>
        <w:jc w:val="both"/>
        <w:outlineLvl w:val="3"/>
      </w:pPr>
      <w:r>
        <w:rPr>
          <w:rFonts w:ascii="楷体_GB2312" w:hAnsi="楷体_GB2312" w:eastAsia="楷体_GB2312"/>
          <w:b/>
          <w:sz w:val="32"/>
        </w:rPr>
        <w:t>（二）政府采购情况</w:t>
      </w:r>
    </w:p>
    <w:p w14:paraId="032550B9">
      <w:pPr>
        <w:spacing w:line="580" w:lineRule="exact"/>
        <w:ind w:firstLine="640"/>
        <w:jc w:val="both"/>
      </w:pPr>
      <w:r>
        <w:rPr>
          <w:rFonts w:ascii="仿宋_GB2312" w:hAnsi="仿宋_GB2312" w:eastAsia="仿宋_GB2312"/>
          <w:b w:val="0"/>
          <w:sz w:val="32"/>
        </w:rPr>
        <w:t>2024年度政府采购支出总额60.03万元，其中：政府采购货物支出44.61万元、政府采购工程支出4.39万元、政府采购服务支出11.03万元。</w:t>
      </w:r>
    </w:p>
    <w:p w14:paraId="339583BC">
      <w:pPr>
        <w:spacing w:line="580" w:lineRule="exact"/>
        <w:ind w:firstLine="640"/>
        <w:jc w:val="both"/>
      </w:pPr>
      <w:r>
        <w:rPr>
          <w:rFonts w:ascii="仿宋_GB2312" w:hAnsi="仿宋_GB2312" w:eastAsia="仿宋_GB2312"/>
          <w:b w:val="0"/>
          <w:sz w:val="32"/>
        </w:rPr>
        <w:t>授予中小企业合同金额59.89万元，占政府采购支出总额的99.77%，其中：授予小微企业合同金额59.89万元，占政府采购支出总额的99.77%。</w:t>
      </w:r>
    </w:p>
    <w:p w14:paraId="4AA6A930">
      <w:pPr>
        <w:spacing w:line="640" w:lineRule="exact"/>
        <w:ind w:firstLine="640"/>
        <w:jc w:val="both"/>
        <w:outlineLvl w:val="3"/>
      </w:pPr>
      <w:r>
        <w:rPr>
          <w:rFonts w:ascii="楷体_GB2312" w:hAnsi="楷体_GB2312" w:eastAsia="楷体_GB2312"/>
          <w:b/>
          <w:sz w:val="32"/>
        </w:rPr>
        <w:t>（三）国有资产占用情况说明</w:t>
      </w:r>
    </w:p>
    <w:p w14:paraId="0F19D7F8">
      <w:pPr>
        <w:spacing w:line="580" w:lineRule="exact"/>
        <w:ind w:firstLine="640"/>
        <w:jc w:val="both"/>
      </w:pPr>
      <w:r>
        <w:rPr>
          <w:rFonts w:ascii="仿宋_GB2312" w:hAnsi="仿宋_GB2312" w:eastAsia="仿宋_GB2312"/>
          <w:b w:val="0"/>
          <w:sz w:val="32"/>
        </w:rPr>
        <w:t>截至2024年12月31日，房屋0.00平方米，价值0.00万元。车辆4辆，价值56.79万元，其中：副部（省）级及以上领导用车0辆、主要负责人用车1辆、机要通信用车0辆、应急保障用车0辆、执法执勤用车2辆、特种专业技术用车0辆、离退休干部服务用车0辆、其他用车1辆，其他用车主要是：一般公务用车。单价100万元（含）以上设备（不含车辆）0台（套）。</w:t>
      </w:r>
    </w:p>
    <w:p w14:paraId="1CB80D62">
      <w:pPr>
        <w:spacing w:line="640" w:lineRule="exact"/>
        <w:ind w:firstLine="640"/>
        <w:jc w:val="both"/>
        <w:outlineLvl w:val="2"/>
      </w:pPr>
      <w:r>
        <w:rPr>
          <w:rFonts w:ascii="黑体" w:hAnsi="黑体" w:eastAsia="黑体"/>
          <w:sz w:val="32"/>
        </w:rPr>
        <w:t>十一、预算绩效的情况说明</w:t>
      </w:r>
    </w:p>
    <w:p w14:paraId="00B1FF4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16,682.38万元，实际执行总额16,607.24万元；预算绩效评价项目8个，全年预算数3,296.84万元，全年执行数2,060.92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w:t>
      </w:r>
      <w:r>
        <w:rPr>
          <w:rFonts w:hint="eastAsia" w:ascii="仿宋_GB2312" w:hAnsi="仿宋_GB2312" w:eastAsia="仿宋_GB2312"/>
          <w:b w:val="0"/>
          <w:sz w:val="32"/>
          <w:lang w:eastAsia="zh-CN"/>
        </w:rPr>
        <w:t>；</w:t>
      </w:r>
      <w:r>
        <w:rPr>
          <w:rFonts w:ascii="仿宋_GB2312" w:hAnsi="仿宋_GB2312" w:eastAsia="仿宋_GB2312"/>
          <w:b w:val="0"/>
          <w:sz w:val="32"/>
        </w:rPr>
        <w:t>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加强绩效评价管理制度和流程的建设，进一步深化、完善绩效管理体系，建立全过程的预算绩效管理机制，促进绩效管理工作向广度和深度延伸</w:t>
      </w:r>
      <w:r>
        <w:rPr>
          <w:rFonts w:hint="eastAsia" w:ascii="仿宋_GB2312" w:hAnsi="仿宋_GB2312" w:eastAsia="仿宋_GB2312"/>
          <w:b w:val="0"/>
          <w:sz w:val="32"/>
          <w:lang w:eastAsia="zh-CN"/>
        </w:rPr>
        <w:t>；</w:t>
      </w:r>
      <w:r>
        <w:rPr>
          <w:rFonts w:ascii="仿宋_GB2312" w:hAnsi="仿宋_GB2312" w:eastAsia="仿宋_GB2312"/>
          <w:b w:val="0"/>
          <w:sz w:val="32"/>
        </w:rPr>
        <w:t>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6CEEAA8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247"/>
        <w:gridCol w:w="963"/>
        <w:gridCol w:w="1105"/>
        <w:gridCol w:w="1105"/>
        <w:gridCol w:w="1105"/>
        <w:gridCol w:w="1105"/>
      </w:tblGrid>
      <w:tr w14:paraId="3B8299C9">
        <w:tblPrEx>
          <w:tblCellMar>
            <w:top w:w="0" w:type="dxa"/>
            <w:left w:w="108" w:type="dxa"/>
            <w:bottom w:w="0" w:type="dxa"/>
            <w:right w:w="108" w:type="dxa"/>
          </w:tblCellMar>
        </w:tblPrEx>
        <w:tc>
          <w:tcPr>
            <w:tcW w:w="8840" w:type="dxa"/>
            <w:gridSpan w:val="8"/>
            <w:vAlign w:val="center"/>
          </w:tcPr>
          <w:p w14:paraId="15226355">
            <w:pPr>
              <w:jc w:val="center"/>
            </w:pPr>
            <w:r>
              <w:rPr>
                <w:rFonts w:ascii="宋体" w:hAnsi="宋体" w:eastAsia="宋体"/>
                <w:sz w:val="24"/>
              </w:rPr>
              <w:t>单位整体支出绩效自评表</w:t>
            </w:r>
          </w:p>
        </w:tc>
      </w:tr>
      <w:tr w14:paraId="7C5D9A80">
        <w:tblPrEx>
          <w:tblCellMar>
            <w:top w:w="0" w:type="dxa"/>
            <w:left w:w="108" w:type="dxa"/>
            <w:bottom w:w="0" w:type="dxa"/>
            <w:right w:w="108" w:type="dxa"/>
          </w:tblCellMar>
        </w:tblPrEx>
        <w:tc>
          <w:tcPr>
            <w:tcW w:w="8840" w:type="dxa"/>
            <w:gridSpan w:val="8"/>
            <w:vAlign w:val="center"/>
          </w:tcPr>
          <w:p w14:paraId="4A8CA76B">
            <w:pPr>
              <w:jc w:val="center"/>
            </w:pPr>
            <w:r>
              <w:rPr>
                <w:rFonts w:ascii="宋体" w:hAnsi="宋体" w:eastAsia="宋体"/>
                <w:sz w:val="24"/>
              </w:rPr>
              <w:t>（2024年度）</w:t>
            </w:r>
          </w:p>
        </w:tc>
      </w:tr>
      <w:tr w14:paraId="0ED9195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7701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27447">
            <w:pPr>
              <w:jc w:val="center"/>
            </w:pPr>
            <w:r>
              <w:rPr>
                <w:rFonts w:ascii="宋体" w:hAnsi="宋体" w:eastAsia="宋体"/>
                <w:sz w:val="16"/>
              </w:rPr>
              <w:t>阿图什市交通运输局</w:t>
            </w:r>
          </w:p>
        </w:tc>
      </w:tr>
      <w:tr w14:paraId="48EBA55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8D8C2">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0EDAC1">
            <w:pPr>
              <w:jc w:val="center"/>
            </w:pPr>
            <w:r>
              <w:rPr>
                <w:rFonts w:ascii="宋体" w:hAnsi="宋体" w:eastAsia="宋体"/>
                <w:sz w:val="16"/>
              </w:rPr>
              <w:t>资金来源</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5715F3B2">
            <w:pPr>
              <w:jc w:val="center"/>
            </w:pPr>
            <w:r>
              <w:rPr>
                <w:rFonts w:ascii="宋体" w:hAnsi="宋体" w:eastAsia="宋体"/>
                <w:sz w:val="16"/>
              </w:rPr>
              <w:t>年初预算数</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3F98EACF">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A611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45BB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A02B1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94409A">
            <w:pPr>
              <w:jc w:val="center"/>
            </w:pPr>
            <w:r>
              <w:rPr>
                <w:rFonts w:ascii="宋体" w:hAnsi="宋体" w:eastAsia="宋体"/>
                <w:sz w:val="16"/>
              </w:rPr>
              <w:t>得分</w:t>
            </w:r>
          </w:p>
        </w:tc>
      </w:tr>
      <w:tr w14:paraId="22A09F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D36D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3B0A59">
            <w:pPr>
              <w:jc w:val="center"/>
            </w:pPr>
            <w:r>
              <w:rPr>
                <w:rFonts w:ascii="宋体" w:hAnsi="宋体" w:eastAsia="宋体"/>
                <w:sz w:val="16"/>
              </w:rPr>
              <w:t>年度总资金：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2457BD3">
            <w:pPr>
              <w:jc w:val="center"/>
            </w:pPr>
            <w:r>
              <w:rPr>
                <w:rFonts w:ascii="宋体" w:hAnsi="宋体" w:eastAsia="宋体"/>
                <w:sz w:val="16"/>
              </w:rPr>
              <w:t>3,326.25</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79858CE6">
            <w:pPr>
              <w:jc w:val="center"/>
            </w:pPr>
            <w:r>
              <w:rPr>
                <w:rFonts w:ascii="宋体" w:hAnsi="宋体" w:eastAsia="宋体"/>
                <w:sz w:val="16"/>
              </w:rPr>
              <w:t>16,682.38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3B850">
            <w:pPr>
              <w:jc w:val="center"/>
            </w:pPr>
            <w:r>
              <w:rPr>
                <w:rFonts w:ascii="宋体" w:hAnsi="宋体" w:eastAsia="宋体"/>
                <w:sz w:val="16"/>
              </w:rPr>
              <w:t>16,607.24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E0B1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A068D">
            <w:pPr>
              <w:jc w:val="center"/>
            </w:pPr>
            <w:r>
              <w:rPr>
                <w:rFonts w:ascii="宋体" w:hAnsi="宋体" w:eastAsia="宋体"/>
                <w:sz w:val="16"/>
              </w:rPr>
              <w:t>99.55%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D33D4">
            <w:pPr>
              <w:jc w:val="center"/>
            </w:pPr>
            <w:r>
              <w:rPr>
                <w:rFonts w:hint="eastAsia" w:ascii="宋体" w:hAnsi="宋体" w:eastAsia="宋体"/>
                <w:sz w:val="16"/>
              </w:rPr>
              <w:t>9.95</w:t>
            </w:r>
          </w:p>
        </w:tc>
      </w:tr>
      <w:tr w14:paraId="7ED66B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19A0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9045D">
            <w:pPr>
              <w:jc w:val="center"/>
            </w:pPr>
            <w:r>
              <w:rPr>
                <w:rFonts w:ascii="宋体" w:hAnsi="宋体" w:eastAsia="宋体"/>
                <w:sz w:val="16"/>
              </w:rPr>
              <w:t>上级资金：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5E19D582">
            <w:pPr>
              <w:jc w:val="center"/>
            </w:pPr>
            <w:r>
              <w:rPr>
                <w:rFonts w:ascii="宋体" w:hAnsi="宋体" w:eastAsia="宋体"/>
                <w:sz w:val="16"/>
              </w:rPr>
              <w:t>2,410.94</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45A15399">
            <w:pPr>
              <w:jc w:val="center"/>
            </w:pPr>
            <w:r>
              <w:rPr>
                <w:rFonts w:ascii="宋体" w:hAnsi="宋体" w:eastAsia="宋体"/>
                <w:sz w:val="16"/>
              </w:rPr>
              <w:t>12,509.58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36187">
            <w:pPr>
              <w:jc w:val="center"/>
            </w:pPr>
            <w:r>
              <w:rPr>
                <w:rFonts w:ascii="宋体" w:hAnsi="宋体" w:eastAsia="宋体"/>
                <w:sz w:val="16"/>
              </w:rPr>
              <w:t>12,509.58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D0E0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B2D0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6B682">
            <w:pPr>
              <w:jc w:val="center"/>
            </w:pPr>
            <w:r>
              <w:rPr>
                <w:rFonts w:ascii="宋体" w:hAnsi="宋体" w:eastAsia="宋体"/>
                <w:sz w:val="16"/>
              </w:rPr>
              <w:t>—</w:t>
            </w:r>
          </w:p>
        </w:tc>
      </w:tr>
      <w:tr w14:paraId="066889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DEE6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D8014A">
            <w:pPr>
              <w:jc w:val="center"/>
            </w:pPr>
            <w:r>
              <w:rPr>
                <w:rFonts w:ascii="宋体" w:hAnsi="宋体" w:eastAsia="宋体"/>
                <w:sz w:val="16"/>
              </w:rPr>
              <w:t>本级资金：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AD203CC">
            <w:pPr>
              <w:jc w:val="center"/>
            </w:pPr>
            <w:r>
              <w:rPr>
                <w:rFonts w:ascii="宋体" w:hAnsi="宋体" w:eastAsia="宋体"/>
                <w:sz w:val="16"/>
              </w:rPr>
              <w:t>915.31</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4B552ED7">
            <w:pPr>
              <w:jc w:val="center"/>
            </w:pPr>
            <w:r>
              <w:rPr>
                <w:rFonts w:ascii="宋体" w:hAnsi="宋体" w:eastAsia="宋体"/>
                <w:sz w:val="16"/>
              </w:rPr>
              <w:t>4,172.80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9DDC8">
            <w:pPr>
              <w:jc w:val="center"/>
            </w:pPr>
            <w:r>
              <w:rPr>
                <w:rFonts w:ascii="宋体" w:hAnsi="宋体" w:eastAsia="宋体"/>
                <w:sz w:val="16"/>
              </w:rPr>
              <w:t>4,097.66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338D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CFC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1987B">
            <w:pPr>
              <w:jc w:val="center"/>
            </w:pPr>
            <w:r>
              <w:rPr>
                <w:rFonts w:ascii="宋体" w:hAnsi="宋体" w:eastAsia="宋体"/>
                <w:sz w:val="16"/>
              </w:rPr>
              <w:t>—</w:t>
            </w:r>
          </w:p>
        </w:tc>
      </w:tr>
      <w:tr w14:paraId="6BA904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40FF6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B178E">
            <w:pPr>
              <w:jc w:val="center"/>
            </w:pPr>
            <w:r>
              <w:rPr>
                <w:rFonts w:ascii="宋体" w:hAnsi="宋体" w:eastAsia="宋体"/>
                <w:sz w:val="16"/>
              </w:rPr>
              <w:t>其他资金：</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481E4381">
            <w:pPr>
              <w:jc w:val="center"/>
            </w:pPr>
            <w:r>
              <w:rPr>
                <w:rFonts w:ascii="宋体" w:hAnsi="宋体" w:eastAsia="宋体"/>
                <w:sz w:val="16"/>
              </w:rPr>
              <w:t>0.00</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0502B6A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1D298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F679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BD83E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2500B">
            <w:pPr>
              <w:jc w:val="center"/>
            </w:pPr>
            <w:r>
              <w:rPr>
                <w:rFonts w:ascii="宋体" w:hAnsi="宋体" w:eastAsia="宋体"/>
                <w:sz w:val="16"/>
              </w:rPr>
              <w:t>—</w:t>
            </w:r>
          </w:p>
        </w:tc>
      </w:tr>
      <w:tr w14:paraId="317165C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7CFF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4F570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FF82FB">
            <w:pPr>
              <w:jc w:val="center"/>
            </w:pPr>
            <w:r>
              <w:rPr>
                <w:rFonts w:ascii="宋体" w:hAnsi="宋体" w:eastAsia="宋体"/>
                <w:sz w:val="16"/>
              </w:rPr>
              <w:t>实际完成情况</w:t>
            </w:r>
          </w:p>
        </w:tc>
      </w:tr>
      <w:tr w14:paraId="76FC47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B8049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129935">
            <w:pPr>
              <w:jc w:val="both"/>
            </w:pPr>
            <w:r>
              <w:rPr>
                <w:rFonts w:ascii="宋体" w:hAnsi="宋体" w:eastAsia="宋体"/>
                <w:sz w:val="16"/>
              </w:rPr>
              <w:t xml:space="preserve">单位基本职能：贯彻执行国家有关公路交通运输行业的方针、政策、法规，拟订阿图什市相关交通运输政策并组织实施和监督检查。拟订阿图什市公路交通运输发展规划、中长期计划并监督实施，会同有关部门组织编制阿图什市综合运输体系规划。 </w:t>
            </w:r>
            <w:r>
              <w:rPr>
                <w:rFonts w:ascii="宋体" w:hAnsi="宋体" w:eastAsia="宋体"/>
                <w:sz w:val="16"/>
              </w:rPr>
              <w:br w:type="textWrapping"/>
            </w:r>
            <w:r>
              <w:rPr>
                <w:rFonts w:ascii="宋体" w:hAnsi="宋体" w:eastAsia="宋体"/>
                <w:sz w:val="16"/>
              </w:rPr>
              <w:t xml:space="preserve">机构设置及人员配置：下设2个科室，编制数27，实有人数37人，在职28人，退休9人。 </w:t>
            </w:r>
            <w:r>
              <w:rPr>
                <w:rFonts w:ascii="宋体" w:hAnsi="宋体" w:eastAsia="宋体"/>
                <w:sz w:val="16"/>
              </w:rPr>
              <w:br w:type="textWrapping"/>
            </w:r>
            <w:r>
              <w:rPr>
                <w:rFonts w:ascii="宋体" w:hAnsi="宋体" w:eastAsia="宋体"/>
                <w:sz w:val="16"/>
              </w:rPr>
              <w:t>中长期规划：着力抓好农村公路养护、道路运输市场整治和交通运输安全管理等工作，不断提升交通运输综合能力和水平。提前谋划好重点工作，制定好发展蓝图，在确保行业安全和稳定的前提下，全力以赴推动我市交通重点项目建设，有效提升运输服务品质和效能，共同奋力推动交通运输事业高质量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77A5434">
            <w:pPr>
              <w:jc w:val="both"/>
            </w:pPr>
            <w:r>
              <w:rPr>
                <w:rFonts w:ascii="宋体" w:hAnsi="宋体" w:eastAsia="宋体"/>
                <w:sz w:val="16"/>
              </w:rPr>
              <w:t xml:space="preserve">本单位共计支出16607.24万元，用于保障部门在职28人，退休9人的工资福利、各项补助正常发放及部门单位正常运转，单位预算项目根据年初计划均已完成，着力抓好农村公路养护、道路运输市场整治和交通运输安全管理等工作，不断提升交通运输综合能力和水平，年度任务中完成安全监管执法企业数量128家，参与相关执法培训活动10次，基础设施建设项目数量11个等目标。 </w:t>
            </w:r>
          </w:p>
        </w:tc>
      </w:tr>
      <w:tr w14:paraId="471D7C6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D22E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0AFF6">
            <w:pPr>
              <w:jc w:val="center"/>
            </w:pPr>
            <w:r>
              <w:rPr>
                <w:rFonts w:ascii="宋体" w:hAnsi="宋体" w:eastAsia="宋体"/>
                <w:sz w:val="16"/>
              </w:rPr>
              <w:t>二级指标</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4C16FEAD">
            <w:pPr>
              <w:jc w:val="center"/>
            </w:pPr>
            <w:r>
              <w:rPr>
                <w:rFonts w:ascii="宋体" w:hAnsi="宋体" w:eastAsia="宋体"/>
                <w:sz w:val="16"/>
              </w:rPr>
              <w:t>三级指标</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27EC314D">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3F7F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716DA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6668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7F2EC">
            <w:pPr>
              <w:jc w:val="center"/>
            </w:pPr>
            <w:r>
              <w:rPr>
                <w:rFonts w:ascii="宋体" w:hAnsi="宋体" w:eastAsia="宋体"/>
                <w:sz w:val="16"/>
              </w:rPr>
              <w:t>得分</w:t>
            </w:r>
          </w:p>
        </w:tc>
      </w:tr>
      <w:tr w14:paraId="2C09B2F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01136">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37EF8">
            <w:pPr>
              <w:jc w:val="center"/>
            </w:pPr>
            <w:r>
              <w:rPr>
                <w:rFonts w:ascii="宋体" w:hAnsi="宋体" w:eastAsia="宋体"/>
                <w:sz w:val="16"/>
              </w:rPr>
              <w:t>质量指标</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615C36F1">
            <w:pPr>
              <w:jc w:val="center"/>
            </w:pPr>
            <w:r>
              <w:rPr>
                <w:rFonts w:ascii="宋体" w:hAnsi="宋体" w:eastAsia="宋体"/>
                <w:sz w:val="16"/>
              </w:rPr>
              <w:t>交通安全隐患整改率</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136C9F3B">
            <w:pPr>
              <w:jc w:val="center"/>
            </w:pPr>
            <w:r>
              <w:rPr>
                <w:rFonts w:ascii="宋体" w:hAnsi="宋体" w:eastAsia="宋体"/>
                <w:sz w:val="16"/>
              </w:rPr>
              <w:t>&gt;=85%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0D0B4">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220B6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56CB5">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5CBF55">
            <w:pPr>
              <w:jc w:val="center"/>
            </w:pPr>
            <w:r>
              <w:rPr>
                <w:rFonts w:ascii="宋体" w:hAnsi="宋体" w:eastAsia="宋体"/>
                <w:sz w:val="16"/>
              </w:rPr>
              <w:t>18</w:t>
            </w:r>
          </w:p>
        </w:tc>
      </w:tr>
      <w:tr w14:paraId="0387D27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EFDA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616F4">
            <w:pPr>
              <w:jc w:val="center"/>
            </w:pPr>
            <w:r>
              <w:rPr>
                <w:rFonts w:ascii="宋体" w:hAnsi="宋体" w:eastAsia="宋体"/>
                <w:sz w:val="16"/>
              </w:rPr>
              <w:t>数量指标</w:t>
            </w:r>
          </w:p>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4BAE1449">
            <w:pPr>
              <w:jc w:val="center"/>
            </w:pPr>
            <w:r>
              <w:rPr>
                <w:rFonts w:ascii="宋体" w:hAnsi="宋体" w:eastAsia="宋体"/>
                <w:sz w:val="16"/>
              </w:rPr>
              <w:t>安全监管执法企业数量</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7B63B7D5">
            <w:pPr>
              <w:jc w:val="center"/>
            </w:pPr>
            <w:r>
              <w:rPr>
                <w:rFonts w:ascii="宋体" w:hAnsi="宋体" w:eastAsia="宋体"/>
                <w:sz w:val="16"/>
              </w:rPr>
              <w:t>&gt;=128家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EFEC6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0E9C0">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C06BE">
            <w:pPr>
              <w:jc w:val="center"/>
            </w:pPr>
            <w:r>
              <w:rPr>
                <w:rFonts w:ascii="宋体" w:hAnsi="宋体" w:eastAsia="宋体"/>
                <w:sz w:val="16"/>
              </w:rPr>
              <w:t>128家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05A0C">
            <w:pPr>
              <w:jc w:val="center"/>
            </w:pPr>
            <w:r>
              <w:rPr>
                <w:rFonts w:ascii="宋体" w:hAnsi="宋体" w:eastAsia="宋体"/>
                <w:sz w:val="16"/>
              </w:rPr>
              <w:t>18</w:t>
            </w:r>
          </w:p>
        </w:tc>
      </w:tr>
      <w:tr w14:paraId="6D27C1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F71A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E77EF8"/>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350BF7A">
            <w:pPr>
              <w:jc w:val="center"/>
            </w:pPr>
            <w:r>
              <w:rPr>
                <w:rFonts w:ascii="宋体" w:hAnsi="宋体" w:eastAsia="宋体"/>
                <w:sz w:val="16"/>
              </w:rPr>
              <w:t>参与相关执法培训活动</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78E44F48">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77110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7D57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ADBB8">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D336E">
            <w:pPr>
              <w:jc w:val="center"/>
            </w:pPr>
            <w:r>
              <w:rPr>
                <w:rFonts w:ascii="宋体" w:hAnsi="宋体" w:eastAsia="宋体"/>
                <w:sz w:val="16"/>
              </w:rPr>
              <w:t>18</w:t>
            </w:r>
          </w:p>
        </w:tc>
      </w:tr>
      <w:tr w14:paraId="5EEC7F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A18E8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FAA029"/>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A8B56FA">
            <w:pPr>
              <w:jc w:val="center"/>
            </w:pPr>
            <w:r>
              <w:rPr>
                <w:rFonts w:ascii="宋体" w:hAnsi="宋体" w:eastAsia="宋体"/>
                <w:sz w:val="16"/>
              </w:rPr>
              <w:t>基础设施建设项目数量</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24ED8154">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E8CE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C170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816F1">
            <w:pPr>
              <w:jc w:val="center"/>
            </w:pPr>
            <w:r>
              <w:rPr>
                <w:rFonts w:ascii="宋体" w:hAnsi="宋体" w:eastAsia="宋体"/>
                <w:sz w:val="16"/>
              </w:rPr>
              <w:t>11个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71B4BF">
            <w:pPr>
              <w:jc w:val="center"/>
            </w:pPr>
            <w:r>
              <w:rPr>
                <w:rFonts w:ascii="宋体" w:hAnsi="宋体" w:eastAsia="宋体"/>
                <w:sz w:val="16"/>
              </w:rPr>
              <w:t>18</w:t>
            </w:r>
          </w:p>
        </w:tc>
      </w:tr>
      <w:tr w14:paraId="6542F6D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356DF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261406"/>
        </w:tc>
        <w:tc>
          <w:tcPr>
            <w:tcW w:w="1247" w:type="dxa"/>
            <w:tcBorders>
              <w:top w:val="single" w:color="auto" w:sz="10" w:space="0"/>
              <w:left w:val="single" w:color="auto" w:sz="10" w:space="0"/>
              <w:bottom w:val="single" w:color="auto" w:sz="10" w:space="0"/>
              <w:right w:val="single" w:color="auto" w:sz="10" w:space="0"/>
              <w:insideV w:val="single" w:sz="10" w:space="0"/>
            </w:tcBorders>
            <w:vAlign w:val="center"/>
          </w:tcPr>
          <w:p w14:paraId="062B45D4">
            <w:pPr>
              <w:jc w:val="center"/>
            </w:pPr>
            <w:r>
              <w:rPr>
                <w:rFonts w:ascii="宋体" w:hAnsi="宋体" w:eastAsia="宋体"/>
                <w:sz w:val="16"/>
              </w:rPr>
              <w:t>实现交通“超载率”控制</w:t>
            </w:r>
          </w:p>
        </w:tc>
        <w:tc>
          <w:tcPr>
            <w:tcW w:w="963" w:type="dxa"/>
            <w:tcBorders>
              <w:top w:val="single" w:color="auto" w:sz="10" w:space="0"/>
              <w:left w:val="single" w:color="auto" w:sz="10" w:space="0"/>
              <w:bottom w:val="single" w:color="auto" w:sz="10" w:space="0"/>
              <w:right w:val="single" w:color="auto" w:sz="10" w:space="0"/>
              <w:insideV w:val="single" w:sz="10" w:space="0"/>
            </w:tcBorders>
            <w:vAlign w:val="center"/>
          </w:tcPr>
          <w:p w14:paraId="5E3F3140">
            <w:pPr>
              <w:jc w:val="center"/>
            </w:pPr>
            <w:r>
              <w:rPr>
                <w:rFonts w:ascii="宋体" w:hAnsi="宋体" w:eastAsia="宋体"/>
                <w:sz w:val="16"/>
              </w:rPr>
              <w:t>&lt;=2%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DFA4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87B19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A6A0D2">
            <w:pPr>
              <w:jc w:val="center"/>
            </w:pPr>
            <w:r>
              <w:rPr>
                <w:rFonts w:ascii="宋体" w:hAnsi="宋体" w:eastAsia="宋体"/>
                <w:sz w:val="16"/>
              </w:rPr>
              <w:t>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F19E9">
            <w:pPr>
              <w:jc w:val="center"/>
            </w:pPr>
            <w:r>
              <w:rPr>
                <w:rFonts w:ascii="宋体" w:hAnsi="宋体" w:eastAsia="宋体"/>
                <w:sz w:val="16"/>
              </w:rPr>
              <w:t>18</w:t>
            </w:r>
          </w:p>
        </w:tc>
      </w:tr>
    </w:tbl>
    <w:p w14:paraId="092E7E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5B46055">
        <w:tblPrEx>
          <w:tblCellMar>
            <w:top w:w="0" w:type="dxa"/>
            <w:left w:w="108" w:type="dxa"/>
            <w:bottom w:w="0" w:type="dxa"/>
            <w:right w:w="108" w:type="dxa"/>
          </w:tblCellMar>
        </w:tblPrEx>
        <w:tc>
          <w:tcPr>
            <w:tcW w:w="8848" w:type="dxa"/>
            <w:gridSpan w:val="14"/>
            <w:vAlign w:val="center"/>
          </w:tcPr>
          <w:p w14:paraId="6815FCF3">
            <w:pPr>
              <w:jc w:val="center"/>
            </w:pPr>
            <w:r>
              <w:rPr>
                <w:rFonts w:ascii="宋体" w:hAnsi="宋体" w:eastAsia="宋体"/>
                <w:sz w:val="24"/>
              </w:rPr>
              <w:t>项目支出绩效自评表</w:t>
            </w:r>
          </w:p>
        </w:tc>
      </w:tr>
      <w:tr w14:paraId="06C75AB3">
        <w:tblPrEx>
          <w:tblCellMar>
            <w:top w:w="0" w:type="dxa"/>
            <w:left w:w="108" w:type="dxa"/>
            <w:bottom w:w="0" w:type="dxa"/>
            <w:right w:w="108" w:type="dxa"/>
          </w:tblCellMar>
        </w:tblPrEx>
        <w:tc>
          <w:tcPr>
            <w:tcW w:w="8848" w:type="dxa"/>
            <w:gridSpan w:val="14"/>
            <w:vAlign w:val="center"/>
          </w:tcPr>
          <w:p w14:paraId="01B24BDF">
            <w:pPr>
              <w:jc w:val="center"/>
            </w:pPr>
            <w:r>
              <w:rPr>
                <w:rFonts w:ascii="宋体" w:hAnsi="宋体" w:eastAsia="宋体"/>
                <w:sz w:val="24"/>
              </w:rPr>
              <w:t>(2024年度)</w:t>
            </w:r>
          </w:p>
        </w:tc>
      </w:tr>
      <w:tr w14:paraId="279FDD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07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577D65">
            <w:pPr>
              <w:jc w:val="center"/>
            </w:pPr>
            <w:r>
              <w:rPr>
                <w:rFonts w:ascii="宋体" w:hAnsi="宋体" w:eastAsia="宋体"/>
                <w:sz w:val="16"/>
              </w:rPr>
              <w:t>2023年公路及附属设施管理经费项目</w:t>
            </w:r>
          </w:p>
        </w:tc>
      </w:tr>
      <w:tr w14:paraId="45575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18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1B5BA">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A86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EC7BFD">
            <w:pPr>
              <w:jc w:val="center"/>
            </w:pPr>
            <w:r>
              <w:rPr>
                <w:rFonts w:ascii="宋体" w:hAnsi="宋体" w:eastAsia="宋体"/>
                <w:sz w:val="16"/>
              </w:rPr>
              <w:t>阿图什市交通运输局</w:t>
            </w:r>
          </w:p>
        </w:tc>
      </w:tr>
      <w:tr w14:paraId="120B23F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159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86F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68BC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804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14C7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B26E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F0C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3FC1">
            <w:pPr>
              <w:jc w:val="center"/>
            </w:pPr>
            <w:r>
              <w:rPr>
                <w:rFonts w:ascii="宋体" w:hAnsi="宋体" w:eastAsia="宋体"/>
                <w:sz w:val="16"/>
              </w:rPr>
              <w:t>得分</w:t>
            </w:r>
          </w:p>
        </w:tc>
      </w:tr>
      <w:tr w14:paraId="22AF3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846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9EE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10D9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FAF3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E0D0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A4A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B197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55075">
            <w:pPr>
              <w:jc w:val="center"/>
            </w:pPr>
            <w:r>
              <w:rPr>
                <w:rFonts w:ascii="宋体" w:hAnsi="宋体" w:eastAsia="宋体"/>
                <w:sz w:val="16"/>
              </w:rPr>
              <w:t>10.00分</w:t>
            </w:r>
          </w:p>
        </w:tc>
      </w:tr>
      <w:tr w14:paraId="617EFA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CCD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56C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F001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0ED5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042BA">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07A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306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1B10D">
            <w:pPr>
              <w:jc w:val="center"/>
            </w:pPr>
            <w:r>
              <w:rPr>
                <w:rFonts w:ascii="宋体" w:hAnsi="宋体" w:eastAsia="宋体"/>
                <w:sz w:val="16"/>
              </w:rPr>
              <w:t>—</w:t>
            </w:r>
          </w:p>
        </w:tc>
      </w:tr>
      <w:tr w14:paraId="5743E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5C3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12D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5F4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EE3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E61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20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BF5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C082">
            <w:pPr>
              <w:jc w:val="center"/>
            </w:pPr>
            <w:r>
              <w:rPr>
                <w:rFonts w:ascii="宋体" w:hAnsi="宋体" w:eastAsia="宋体"/>
                <w:sz w:val="16"/>
              </w:rPr>
              <w:t>—</w:t>
            </w:r>
          </w:p>
        </w:tc>
      </w:tr>
      <w:tr w14:paraId="10A01B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29A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1E42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691CCE">
            <w:pPr>
              <w:jc w:val="center"/>
            </w:pPr>
            <w:r>
              <w:rPr>
                <w:rFonts w:ascii="宋体" w:hAnsi="宋体" w:eastAsia="宋体"/>
                <w:sz w:val="16"/>
              </w:rPr>
              <w:t>实际完成情况</w:t>
            </w:r>
          </w:p>
        </w:tc>
      </w:tr>
      <w:tr w14:paraId="582E0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1CB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29622A">
            <w:pPr>
              <w:jc w:val="both"/>
            </w:pPr>
            <w:r>
              <w:rPr>
                <w:rFonts w:ascii="宋体" w:hAnsi="宋体" w:eastAsia="宋体"/>
                <w:sz w:val="16"/>
              </w:rPr>
              <w:t>项目资金30万元，主要用于订阅报刊及广告宣传次数6次，购买生活用品、办公用品及耗材次数4次，保障车辆正常运行数量3辆，保障其他业务工作正常开展期限12个月。通过项目实施，有效保障了单位正常运转，极大提高了</w:t>
            </w:r>
            <w:r>
              <w:rPr>
                <w:rFonts w:hint="eastAsia" w:ascii="宋体" w:hAnsi="宋体"/>
                <w:sz w:val="16"/>
                <w:lang w:eastAsia="zh-CN"/>
              </w:rPr>
              <w:t>本单位</w:t>
            </w:r>
            <w:r>
              <w:rPr>
                <w:rFonts w:ascii="宋体" w:hAnsi="宋体" w:eastAsia="宋体"/>
                <w:sz w:val="16"/>
              </w:rPr>
              <w:t>公共服务能力及工作效率。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83A7F6">
            <w:pPr>
              <w:jc w:val="both"/>
            </w:pPr>
            <w:r>
              <w:rPr>
                <w:rFonts w:ascii="宋体" w:hAnsi="宋体" w:eastAsia="宋体"/>
                <w:sz w:val="16"/>
              </w:rPr>
              <w:t>本项目共计支出30万元，用于订阅报刊及广告宣传次数6次，购买生活用品、办公用品及耗材次数4次，保障车辆正常运行数量3辆，保障其他业务工作正常开展期限12个月；通过实施本项目有效保障了单位正常运转，极大提高了</w:t>
            </w:r>
            <w:r>
              <w:rPr>
                <w:rFonts w:hint="eastAsia" w:ascii="宋体" w:hAnsi="宋体"/>
                <w:sz w:val="16"/>
                <w:lang w:eastAsia="zh-CN"/>
              </w:rPr>
              <w:t>本单位</w:t>
            </w:r>
            <w:r>
              <w:rPr>
                <w:rFonts w:ascii="宋体" w:hAnsi="宋体" w:eastAsia="宋体"/>
                <w:sz w:val="16"/>
              </w:rPr>
              <w:t>公共服务能力及工作效率。</w:t>
            </w:r>
          </w:p>
        </w:tc>
      </w:tr>
      <w:tr w14:paraId="3EF1056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EE0E5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01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E50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547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765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65A2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62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1F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D9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663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80B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E5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A2BD">
            <w:pPr>
              <w:jc w:val="center"/>
            </w:pPr>
            <w:r>
              <w:rPr>
                <w:rFonts w:ascii="宋体" w:hAnsi="宋体" w:eastAsia="宋体"/>
                <w:sz w:val="16"/>
              </w:rPr>
              <w:t>偏差原因分析及改进措施</w:t>
            </w:r>
          </w:p>
        </w:tc>
      </w:tr>
      <w:tr w14:paraId="54A480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36F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B7A1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92CA6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1E81">
            <w:pPr>
              <w:jc w:val="center"/>
            </w:pPr>
            <w:r>
              <w:rPr>
                <w:rFonts w:ascii="宋体" w:hAnsi="宋体" w:eastAsia="宋体"/>
                <w:sz w:val="16"/>
              </w:rPr>
              <w:t>订阅报刊及广告宣传次数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AC40E">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87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7C1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A9C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CF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D1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2B24">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79C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30924">
            <w:pPr>
              <w:jc w:val="center"/>
            </w:pPr>
          </w:p>
        </w:tc>
      </w:tr>
      <w:tr w14:paraId="09F10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FF8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774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A41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7D9D">
            <w:pPr>
              <w:jc w:val="center"/>
            </w:pPr>
            <w:r>
              <w:rPr>
                <w:rFonts w:ascii="宋体" w:hAnsi="宋体" w:eastAsia="宋体"/>
                <w:sz w:val="16"/>
              </w:rPr>
              <w:t>购买生活用品、办公用品及耗材次数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6112">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8C0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44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88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07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4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C092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7B7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D55C9">
            <w:pPr>
              <w:jc w:val="center"/>
            </w:pPr>
          </w:p>
        </w:tc>
      </w:tr>
      <w:tr w14:paraId="5148F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DDB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D7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D90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EC90">
            <w:pPr>
              <w:jc w:val="center"/>
            </w:pPr>
            <w:r>
              <w:rPr>
                <w:rFonts w:ascii="宋体" w:hAnsi="宋体" w:eastAsia="宋体"/>
                <w:sz w:val="16"/>
              </w:rPr>
              <w:t>保障车辆正常运行数量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A3A6E">
            <w:pPr>
              <w:jc w:val="center"/>
            </w:pPr>
            <w:r>
              <w:rPr>
                <w:rFonts w:ascii="宋体" w:hAnsi="宋体" w:eastAsia="宋体"/>
                <w:sz w:val="16"/>
              </w:rPr>
              <w:t>&gt;=3辆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8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4ED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DB2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3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8C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E299">
            <w:pPr>
              <w:jc w:val="center"/>
            </w:pPr>
            <w:r>
              <w:rPr>
                <w:rFonts w:ascii="宋体" w:hAnsi="宋体" w:eastAsia="宋体"/>
                <w:sz w:val="16"/>
              </w:rPr>
              <w:t>=3辆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988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2DE16">
            <w:pPr>
              <w:jc w:val="center"/>
            </w:pPr>
          </w:p>
        </w:tc>
      </w:tr>
      <w:tr w14:paraId="0C244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202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9A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B7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1707">
            <w:pPr>
              <w:jc w:val="center"/>
            </w:pPr>
            <w:r>
              <w:rPr>
                <w:rFonts w:ascii="宋体" w:hAnsi="宋体" w:eastAsia="宋体"/>
                <w:sz w:val="16"/>
              </w:rPr>
              <w:t>保障其他业务工作正常开展期限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C64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C9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70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BC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B5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98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0C05">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690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75E7B">
            <w:pPr>
              <w:jc w:val="center"/>
            </w:pPr>
          </w:p>
        </w:tc>
      </w:tr>
      <w:tr w14:paraId="46606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15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19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86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908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E5F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5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98C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79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9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50B3">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0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8CB4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C79E4">
            <w:pPr>
              <w:jc w:val="center"/>
            </w:pPr>
          </w:p>
        </w:tc>
      </w:tr>
      <w:tr w14:paraId="4A0F96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AB9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5AC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7A8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57E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976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235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75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22D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DCBF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626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0EAA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353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54A0">
            <w:pPr>
              <w:jc w:val="center"/>
            </w:pPr>
          </w:p>
        </w:tc>
      </w:tr>
      <w:tr w14:paraId="07DD23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46B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961F4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9CB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1DF0">
            <w:pPr>
              <w:jc w:val="center"/>
            </w:pPr>
            <w:r>
              <w:rPr>
                <w:rFonts w:ascii="宋体" w:hAnsi="宋体" w:eastAsia="宋体"/>
                <w:sz w:val="16"/>
              </w:rPr>
              <w:t>订阅报刊及广告宣传成本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DF95">
            <w:pPr>
              <w:jc w:val="center"/>
            </w:pPr>
            <w:r>
              <w:rPr>
                <w:rFonts w:ascii="宋体" w:hAnsi="宋体" w:eastAsia="宋体"/>
                <w:sz w:val="16"/>
              </w:rPr>
              <w:t>&lt;=8万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43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CA8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DA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7B8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F63F">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4D22">
            <w:pPr>
              <w:jc w:val="center"/>
            </w:pPr>
            <w:r>
              <w:rPr>
                <w:rFonts w:ascii="宋体" w:hAnsi="宋体" w:eastAsia="宋体"/>
                <w:sz w:val="16"/>
              </w:rPr>
              <w:t>=8万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CD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E7B48">
            <w:pPr>
              <w:jc w:val="center"/>
            </w:pPr>
          </w:p>
        </w:tc>
      </w:tr>
      <w:tr w14:paraId="7F393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0AF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520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1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8318E">
            <w:pPr>
              <w:jc w:val="center"/>
            </w:pPr>
            <w:r>
              <w:rPr>
                <w:rFonts w:ascii="宋体" w:hAnsi="宋体" w:eastAsia="宋体"/>
                <w:sz w:val="16"/>
              </w:rPr>
              <w:t>购买生活用品、办公用品及耗材成本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4C56">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F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A05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162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6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E4F3A">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4D92">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D1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3449F">
            <w:pPr>
              <w:jc w:val="center"/>
            </w:pPr>
          </w:p>
        </w:tc>
      </w:tr>
      <w:tr w14:paraId="322F1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5E7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58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7D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5277">
            <w:pPr>
              <w:jc w:val="center"/>
            </w:pPr>
            <w:r>
              <w:rPr>
                <w:rFonts w:ascii="宋体" w:hAnsi="宋体" w:eastAsia="宋体"/>
                <w:sz w:val="16"/>
              </w:rPr>
              <w:t>保障车辆正常运行成本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6E85">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0F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49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AA6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55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1C46">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34110">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6AD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B8360">
            <w:pPr>
              <w:jc w:val="center"/>
            </w:pPr>
          </w:p>
        </w:tc>
      </w:tr>
      <w:tr w14:paraId="62A75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6E3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45A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92B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497D">
            <w:pPr>
              <w:jc w:val="center"/>
            </w:pPr>
            <w:r>
              <w:rPr>
                <w:rFonts w:ascii="宋体" w:hAnsi="宋体" w:eastAsia="宋体"/>
                <w:sz w:val="16"/>
              </w:rPr>
              <w:t>保障其他业务工作正常开展成本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54B2">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41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72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62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970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D58A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763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80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E9BF4">
            <w:pPr>
              <w:jc w:val="center"/>
            </w:pPr>
          </w:p>
        </w:tc>
      </w:tr>
      <w:tr w14:paraId="70A11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143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18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1E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BA97D">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101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88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19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93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F2B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8E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1767">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E4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04CAE">
            <w:pPr>
              <w:jc w:val="center"/>
            </w:pPr>
          </w:p>
        </w:tc>
      </w:tr>
      <w:tr w14:paraId="66831D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E54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59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5A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B992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067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6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E14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1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68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35D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C7A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DA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7FD6">
            <w:pPr>
              <w:jc w:val="center"/>
            </w:pPr>
          </w:p>
        </w:tc>
      </w:tr>
      <w:tr w14:paraId="2F08E9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FAFB2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CFA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681B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968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B267B6"/>
        </w:tc>
      </w:tr>
    </w:tbl>
    <w:p w14:paraId="601FD05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26677A">
        <w:tblPrEx>
          <w:tblCellMar>
            <w:top w:w="0" w:type="dxa"/>
            <w:left w:w="108" w:type="dxa"/>
            <w:bottom w:w="0" w:type="dxa"/>
            <w:right w:w="108" w:type="dxa"/>
          </w:tblCellMar>
        </w:tblPrEx>
        <w:tc>
          <w:tcPr>
            <w:tcW w:w="8848" w:type="dxa"/>
            <w:gridSpan w:val="14"/>
            <w:vAlign w:val="center"/>
          </w:tcPr>
          <w:p w14:paraId="3F386018">
            <w:pPr>
              <w:jc w:val="center"/>
            </w:pPr>
            <w:r>
              <w:rPr>
                <w:rFonts w:ascii="宋体" w:hAnsi="宋体" w:eastAsia="宋体"/>
                <w:sz w:val="24"/>
              </w:rPr>
              <w:t>项目支出绩效自评表</w:t>
            </w:r>
          </w:p>
        </w:tc>
      </w:tr>
      <w:tr w14:paraId="5DB30DEF">
        <w:tblPrEx>
          <w:tblCellMar>
            <w:top w:w="0" w:type="dxa"/>
            <w:left w:w="108" w:type="dxa"/>
            <w:bottom w:w="0" w:type="dxa"/>
            <w:right w:w="108" w:type="dxa"/>
          </w:tblCellMar>
        </w:tblPrEx>
        <w:tc>
          <w:tcPr>
            <w:tcW w:w="8848" w:type="dxa"/>
            <w:gridSpan w:val="14"/>
            <w:vAlign w:val="center"/>
          </w:tcPr>
          <w:p w14:paraId="4B4315D0">
            <w:pPr>
              <w:jc w:val="center"/>
            </w:pPr>
            <w:r>
              <w:rPr>
                <w:rFonts w:ascii="宋体" w:hAnsi="宋体" w:eastAsia="宋体"/>
                <w:sz w:val="24"/>
              </w:rPr>
              <w:t>(2024年度)</w:t>
            </w:r>
          </w:p>
        </w:tc>
      </w:tr>
      <w:tr w14:paraId="10DDAB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8E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0853B3">
            <w:pPr>
              <w:jc w:val="center"/>
            </w:pPr>
            <w:r>
              <w:rPr>
                <w:rFonts w:ascii="宋体" w:hAnsi="宋体" w:eastAsia="宋体"/>
                <w:sz w:val="16"/>
              </w:rPr>
              <w:t>2023年度农村客运补贴资金及城市交通发展奖励资金项目</w:t>
            </w:r>
          </w:p>
        </w:tc>
      </w:tr>
      <w:tr w14:paraId="1A647A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224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AF4E4">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2E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0592AD">
            <w:pPr>
              <w:jc w:val="center"/>
            </w:pPr>
            <w:r>
              <w:rPr>
                <w:rFonts w:ascii="宋体" w:hAnsi="宋体" w:eastAsia="宋体"/>
                <w:sz w:val="16"/>
              </w:rPr>
              <w:t>阿图什市交通运输局</w:t>
            </w:r>
          </w:p>
        </w:tc>
      </w:tr>
      <w:tr w14:paraId="73EE99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E7F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C18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0C32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34F8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0BA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6D41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8D1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D1CD">
            <w:pPr>
              <w:jc w:val="center"/>
            </w:pPr>
            <w:r>
              <w:rPr>
                <w:rFonts w:ascii="宋体" w:hAnsi="宋体" w:eastAsia="宋体"/>
                <w:sz w:val="16"/>
              </w:rPr>
              <w:t>得分</w:t>
            </w:r>
          </w:p>
        </w:tc>
      </w:tr>
      <w:tr w14:paraId="6D4D8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2A5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1286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7A678">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363C1">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B3D7B">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8E0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56FD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3F9E">
            <w:pPr>
              <w:jc w:val="center"/>
            </w:pPr>
            <w:r>
              <w:rPr>
                <w:rFonts w:ascii="宋体" w:hAnsi="宋体" w:eastAsia="宋体"/>
                <w:sz w:val="16"/>
              </w:rPr>
              <w:t>10.00分</w:t>
            </w:r>
          </w:p>
        </w:tc>
      </w:tr>
      <w:tr w14:paraId="245ABF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C23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38F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FA7BC">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31D4F">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3C61">
            <w:pPr>
              <w:jc w:val="center"/>
            </w:pPr>
            <w:r>
              <w:rPr>
                <w:rFonts w:ascii="宋体" w:hAnsi="宋体" w:eastAsia="宋体"/>
                <w:sz w:val="16"/>
              </w:rPr>
              <w:t>419.69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2AC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A23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7DF9">
            <w:pPr>
              <w:jc w:val="center"/>
            </w:pPr>
            <w:r>
              <w:rPr>
                <w:rFonts w:ascii="宋体" w:hAnsi="宋体" w:eastAsia="宋体"/>
                <w:sz w:val="16"/>
              </w:rPr>
              <w:t>—</w:t>
            </w:r>
          </w:p>
        </w:tc>
      </w:tr>
      <w:tr w14:paraId="2E687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D0C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862A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B96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C9C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D9F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109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0F6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E0F44">
            <w:pPr>
              <w:jc w:val="center"/>
            </w:pPr>
            <w:r>
              <w:rPr>
                <w:rFonts w:ascii="宋体" w:hAnsi="宋体" w:eastAsia="宋体"/>
                <w:sz w:val="16"/>
              </w:rPr>
              <w:t>—</w:t>
            </w:r>
          </w:p>
        </w:tc>
      </w:tr>
      <w:tr w14:paraId="26F173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792F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E66B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347F86">
            <w:pPr>
              <w:jc w:val="center"/>
            </w:pPr>
            <w:r>
              <w:rPr>
                <w:rFonts w:ascii="宋体" w:hAnsi="宋体" w:eastAsia="宋体"/>
                <w:sz w:val="16"/>
              </w:rPr>
              <w:t>实际完成情况</w:t>
            </w:r>
          </w:p>
        </w:tc>
      </w:tr>
      <w:tr w14:paraId="6AB27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73E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0BF23">
            <w:pPr>
              <w:jc w:val="both"/>
            </w:pPr>
            <w:r>
              <w:rPr>
                <w:rFonts w:ascii="宋体" w:hAnsi="宋体" w:eastAsia="宋体"/>
                <w:sz w:val="16"/>
              </w:rPr>
              <w:t>根据《关于预拨2023年度农村客运补贴资金及城市交通发展奖励资金预算的通知》克财社</w:t>
            </w:r>
            <w:r>
              <w:rPr>
                <w:rFonts w:hint="eastAsia" w:ascii="宋体" w:hAnsi="宋体"/>
                <w:sz w:val="16"/>
                <w:lang w:eastAsia="zh-CN"/>
              </w:rPr>
              <w:t>〔2023〕68号</w:t>
            </w:r>
            <w:r>
              <w:rPr>
                <w:rFonts w:ascii="宋体" w:hAnsi="宋体" w:eastAsia="宋体"/>
                <w:sz w:val="16"/>
              </w:rPr>
              <w:t>文件，通过项目实施，保障单位工作正常运行，改善困难群众生活条件。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9BF12C">
            <w:pPr>
              <w:jc w:val="both"/>
            </w:pPr>
            <w:r>
              <w:rPr>
                <w:rFonts w:ascii="宋体" w:hAnsi="宋体" w:eastAsia="宋体"/>
                <w:sz w:val="16"/>
              </w:rPr>
              <w:t>根据《关于预拨2023年度农村客运补贴资金及城市交通发展奖励资金预算的通知》克财社〔2023〕68号文件，下达资金419.69万元，本项目共计支出419.69万元，用于农村客运补贴发放期限12个月；通过实施本项目保障单位工作正常运行，改善困难群众生活条件。</w:t>
            </w:r>
          </w:p>
        </w:tc>
      </w:tr>
      <w:tr w14:paraId="6F6260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6DD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BC2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1F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39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AC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74BA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99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AC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7D4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BEF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F6D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C4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FEF57">
            <w:pPr>
              <w:jc w:val="center"/>
            </w:pPr>
            <w:r>
              <w:rPr>
                <w:rFonts w:ascii="宋体" w:hAnsi="宋体" w:eastAsia="宋体"/>
                <w:sz w:val="16"/>
              </w:rPr>
              <w:t>偏差原因分析及改进措施</w:t>
            </w:r>
          </w:p>
        </w:tc>
      </w:tr>
      <w:tr w14:paraId="4F0EB0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CFA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52A1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93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9D35">
            <w:pPr>
              <w:jc w:val="center"/>
            </w:pPr>
            <w:r>
              <w:rPr>
                <w:rFonts w:ascii="宋体" w:hAnsi="宋体" w:eastAsia="宋体"/>
                <w:sz w:val="16"/>
              </w:rPr>
              <w:t>农村客运补贴发放期限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352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410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C0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09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EC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DB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AC1A">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B5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622D8">
            <w:pPr>
              <w:jc w:val="center"/>
            </w:pPr>
          </w:p>
        </w:tc>
      </w:tr>
      <w:tr w14:paraId="353A1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738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2AE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F953C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6C87">
            <w:pPr>
              <w:jc w:val="center"/>
            </w:pPr>
            <w:r>
              <w:rPr>
                <w:rFonts w:ascii="宋体" w:hAnsi="宋体" w:eastAsia="宋体"/>
                <w:sz w:val="16"/>
              </w:rPr>
              <w:t>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118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A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14F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3D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8B9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E98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490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BA142">
            <w:pPr>
              <w:jc w:val="center"/>
            </w:pPr>
          </w:p>
        </w:tc>
      </w:tr>
      <w:tr w14:paraId="3ACEF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CF0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FEC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AA6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B376A">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45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61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9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8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7E4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29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D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5B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E2882">
            <w:pPr>
              <w:jc w:val="center"/>
            </w:pPr>
          </w:p>
        </w:tc>
      </w:tr>
      <w:tr w14:paraId="38B53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92A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619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250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4F2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994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059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E5B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9F4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663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FFA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802C">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C1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BA3D4">
            <w:pPr>
              <w:jc w:val="center"/>
            </w:pPr>
          </w:p>
        </w:tc>
      </w:tr>
      <w:tr w14:paraId="7934B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BF0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E80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98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6001">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0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4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B3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FB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DC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4656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DE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71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B9301">
            <w:pPr>
              <w:jc w:val="center"/>
            </w:pPr>
          </w:p>
        </w:tc>
      </w:tr>
      <w:tr w14:paraId="23CE6D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546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72E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52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F5A6">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DA8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7D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16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99F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90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A7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FB4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CE2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1D270">
            <w:pPr>
              <w:jc w:val="center"/>
            </w:pPr>
          </w:p>
        </w:tc>
      </w:tr>
      <w:tr w14:paraId="6826AB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182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466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A74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55A2">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BF3C">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E0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8A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75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15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45C3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864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30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80EA0">
            <w:pPr>
              <w:jc w:val="center"/>
            </w:pPr>
          </w:p>
        </w:tc>
      </w:tr>
      <w:tr w14:paraId="0A0D04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E1F3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C7E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FBD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3761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494A2C"/>
        </w:tc>
      </w:tr>
    </w:tbl>
    <w:p w14:paraId="5250925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9A33CF1">
        <w:tblPrEx>
          <w:tblCellMar>
            <w:top w:w="0" w:type="dxa"/>
            <w:left w:w="108" w:type="dxa"/>
            <w:bottom w:w="0" w:type="dxa"/>
            <w:right w:w="108" w:type="dxa"/>
          </w:tblCellMar>
        </w:tblPrEx>
        <w:tc>
          <w:tcPr>
            <w:tcW w:w="8848" w:type="dxa"/>
            <w:gridSpan w:val="14"/>
            <w:vAlign w:val="center"/>
          </w:tcPr>
          <w:p w14:paraId="01F28D95">
            <w:pPr>
              <w:jc w:val="center"/>
            </w:pPr>
            <w:r>
              <w:rPr>
                <w:rFonts w:ascii="宋体" w:hAnsi="宋体" w:eastAsia="宋体"/>
                <w:sz w:val="24"/>
              </w:rPr>
              <w:t>项目支出绩效自评表</w:t>
            </w:r>
          </w:p>
        </w:tc>
      </w:tr>
      <w:tr w14:paraId="7020FFC1">
        <w:tblPrEx>
          <w:tblCellMar>
            <w:top w:w="0" w:type="dxa"/>
            <w:left w:w="108" w:type="dxa"/>
            <w:bottom w:w="0" w:type="dxa"/>
            <w:right w:w="108" w:type="dxa"/>
          </w:tblCellMar>
        </w:tblPrEx>
        <w:tc>
          <w:tcPr>
            <w:tcW w:w="8848" w:type="dxa"/>
            <w:gridSpan w:val="14"/>
            <w:vAlign w:val="center"/>
          </w:tcPr>
          <w:p w14:paraId="3CB991C0">
            <w:pPr>
              <w:jc w:val="center"/>
            </w:pPr>
            <w:r>
              <w:rPr>
                <w:rFonts w:ascii="宋体" w:hAnsi="宋体" w:eastAsia="宋体"/>
                <w:sz w:val="24"/>
              </w:rPr>
              <w:t>(2024年度)</w:t>
            </w:r>
          </w:p>
        </w:tc>
      </w:tr>
      <w:tr w14:paraId="1BD3DF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C6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EB5842">
            <w:pPr>
              <w:jc w:val="center"/>
            </w:pPr>
            <w:r>
              <w:rPr>
                <w:rFonts w:ascii="宋体" w:hAnsi="宋体" w:eastAsia="宋体"/>
                <w:sz w:val="16"/>
              </w:rPr>
              <w:t>2024年中央对地方成品油税费改革转移支付资金用于农村公路养护支出项目</w:t>
            </w:r>
          </w:p>
        </w:tc>
      </w:tr>
      <w:tr w14:paraId="52028B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F7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F2D7FE">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F10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F0BBD4">
            <w:pPr>
              <w:jc w:val="center"/>
            </w:pPr>
            <w:r>
              <w:rPr>
                <w:rFonts w:ascii="宋体" w:hAnsi="宋体" w:eastAsia="宋体"/>
                <w:sz w:val="16"/>
              </w:rPr>
              <w:t>阿图什市交通运输局</w:t>
            </w:r>
          </w:p>
        </w:tc>
      </w:tr>
      <w:tr w14:paraId="06FBDE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A393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FCE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95E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284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DD5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E01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D54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1869">
            <w:pPr>
              <w:jc w:val="center"/>
            </w:pPr>
            <w:r>
              <w:rPr>
                <w:rFonts w:ascii="宋体" w:hAnsi="宋体" w:eastAsia="宋体"/>
                <w:sz w:val="16"/>
              </w:rPr>
              <w:t>得分</w:t>
            </w:r>
          </w:p>
        </w:tc>
      </w:tr>
      <w:tr w14:paraId="32412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9A1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BB22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7923C">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B8338">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DAC8C">
            <w:pPr>
              <w:jc w:val="center"/>
            </w:pPr>
            <w:r>
              <w:rPr>
                <w:rFonts w:ascii="宋体" w:hAnsi="宋体" w:eastAsia="宋体"/>
                <w:sz w:val="16"/>
              </w:rPr>
              <w:t>171.30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FE6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B49EA">
            <w:pPr>
              <w:jc w:val="center"/>
            </w:pPr>
            <w:r>
              <w:rPr>
                <w:rFonts w:ascii="宋体" w:hAnsi="宋体" w:eastAsia="宋体"/>
                <w:sz w:val="16"/>
              </w:rPr>
              <w:t>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20E5F">
            <w:pPr>
              <w:jc w:val="center"/>
            </w:pPr>
            <w:r>
              <w:rPr>
                <w:rFonts w:ascii="宋体" w:hAnsi="宋体" w:eastAsia="宋体"/>
                <w:sz w:val="16"/>
              </w:rPr>
              <w:t>0.00分</w:t>
            </w:r>
          </w:p>
        </w:tc>
      </w:tr>
      <w:tr w14:paraId="7E73A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1F9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309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F5185">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4A351">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E16D0">
            <w:pPr>
              <w:jc w:val="center"/>
            </w:pPr>
            <w:r>
              <w:rPr>
                <w:rFonts w:ascii="宋体" w:hAnsi="宋体" w:eastAsia="宋体"/>
                <w:sz w:val="16"/>
              </w:rPr>
              <w:t>171.30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FF5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9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5A866">
            <w:pPr>
              <w:jc w:val="center"/>
            </w:pPr>
            <w:r>
              <w:rPr>
                <w:rFonts w:ascii="宋体" w:hAnsi="宋体" w:eastAsia="宋体"/>
                <w:sz w:val="16"/>
              </w:rPr>
              <w:t>—</w:t>
            </w:r>
          </w:p>
        </w:tc>
      </w:tr>
      <w:tr w14:paraId="2F919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58E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3B3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F30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96C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01C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4BF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DE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275E">
            <w:pPr>
              <w:jc w:val="center"/>
            </w:pPr>
            <w:r>
              <w:rPr>
                <w:rFonts w:ascii="宋体" w:hAnsi="宋体" w:eastAsia="宋体"/>
                <w:sz w:val="16"/>
              </w:rPr>
              <w:t>—</w:t>
            </w:r>
          </w:p>
        </w:tc>
      </w:tr>
      <w:tr w14:paraId="4A2ABA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D41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09F9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ADC23B">
            <w:pPr>
              <w:jc w:val="center"/>
            </w:pPr>
            <w:r>
              <w:rPr>
                <w:rFonts w:ascii="宋体" w:hAnsi="宋体" w:eastAsia="宋体"/>
                <w:sz w:val="16"/>
              </w:rPr>
              <w:t>实际完成情况</w:t>
            </w:r>
          </w:p>
        </w:tc>
      </w:tr>
      <w:tr w14:paraId="259B9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B5B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410AB">
            <w:pPr>
              <w:jc w:val="both"/>
            </w:pPr>
            <w:r>
              <w:rPr>
                <w:rFonts w:ascii="宋体" w:hAnsi="宋体" w:eastAsia="宋体"/>
                <w:sz w:val="16"/>
              </w:rPr>
              <w:t>根据《关于提前下达2024年中央对地方成品税费改革转移支付资金用于农村公路养护支出预算的通知》实施项目，克财建</w:t>
            </w:r>
            <w:r>
              <w:rPr>
                <w:rFonts w:hint="eastAsia" w:ascii="宋体" w:hAnsi="宋体"/>
                <w:sz w:val="16"/>
                <w:lang w:eastAsia="zh-CN"/>
              </w:rPr>
              <w:t>〔2023〕77号</w:t>
            </w:r>
            <w:r>
              <w:rPr>
                <w:rFonts w:ascii="宋体" w:hAnsi="宋体" w:eastAsia="宋体"/>
                <w:sz w:val="16"/>
              </w:rPr>
              <w:t>，用于农村公路日常养护里程数300公里，确保实现“有路必养</w:t>
            </w:r>
            <w:r>
              <w:rPr>
                <w:rFonts w:hint="eastAsia" w:ascii="宋体" w:hAnsi="宋体"/>
                <w:sz w:val="16"/>
                <w:lang w:eastAsia="zh-CN"/>
              </w:rPr>
              <w:t>”“</w:t>
            </w:r>
            <w:r>
              <w:rPr>
                <w:rFonts w:ascii="宋体" w:hAnsi="宋体" w:eastAsia="宋体"/>
                <w:sz w:val="16"/>
              </w:rPr>
              <w:t>养必到位”的管养目标，推动“四好农村路”建设高质量发展。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4DD2B5">
            <w:pPr>
              <w:jc w:val="both"/>
            </w:pPr>
            <w:r>
              <w:rPr>
                <w:rFonts w:ascii="宋体" w:hAnsi="宋体" w:eastAsia="宋体"/>
                <w:sz w:val="16"/>
              </w:rPr>
              <w:t xml:space="preserve"> 根据《关于提前下达2024年中央对地方成品税费改革转移支付资金用于农村公路养护支出预算的通知》实施项目，克财建〔2023〕77号，下达资金291万元，本项目共计支出171.3万元，用于农村公路日常养护里程数300公里；通过实施本项目确保实现“有路必养</w:t>
            </w:r>
            <w:r>
              <w:rPr>
                <w:rFonts w:hint="eastAsia" w:ascii="宋体" w:hAnsi="宋体"/>
                <w:sz w:val="16"/>
                <w:lang w:eastAsia="zh-CN"/>
              </w:rPr>
              <w:t>”“</w:t>
            </w:r>
            <w:r>
              <w:rPr>
                <w:rFonts w:ascii="宋体" w:hAnsi="宋体" w:eastAsia="宋体"/>
                <w:sz w:val="16"/>
              </w:rPr>
              <w:t xml:space="preserve">养必到位”的管养目标，推动“四好农村路”建设高质量发展。 </w:t>
            </w:r>
          </w:p>
        </w:tc>
      </w:tr>
      <w:tr w14:paraId="76E5D6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AED3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F6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BE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2CAA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6E6E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B9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DE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2D3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D41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5A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E17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C5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4BC0">
            <w:pPr>
              <w:jc w:val="center"/>
            </w:pPr>
            <w:r>
              <w:rPr>
                <w:rFonts w:ascii="宋体" w:hAnsi="宋体" w:eastAsia="宋体"/>
                <w:sz w:val="16"/>
              </w:rPr>
              <w:t>偏差原因分析及改进措施</w:t>
            </w:r>
          </w:p>
        </w:tc>
      </w:tr>
      <w:tr w14:paraId="725845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684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F436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22E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98B33">
            <w:pPr>
              <w:jc w:val="center"/>
            </w:pPr>
            <w:r>
              <w:rPr>
                <w:rFonts w:ascii="宋体" w:hAnsi="宋体" w:eastAsia="宋体"/>
                <w:sz w:val="16"/>
              </w:rPr>
              <w:t>农村公路日常养护里程数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EDD5F">
            <w:pPr>
              <w:jc w:val="center"/>
            </w:pPr>
            <w:bookmarkStart w:id="0" w:name="_GoBack"/>
            <w:r>
              <w:rPr>
                <w:rFonts w:ascii="宋体" w:hAnsi="宋体" w:eastAsia="宋体"/>
                <w:sz w:val="16"/>
              </w:rPr>
              <w:t>&gt;</w:t>
            </w:r>
            <w:bookmarkEnd w:id="0"/>
            <w:r>
              <w:rPr>
                <w:rFonts w:ascii="宋体" w:hAnsi="宋体" w:eastAsia="宋体"/>
                <w:sz w:val="16"/>
              </w:rPr>
              <w:t>=300公里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44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529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ECD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00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81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8C99">
            <w:pPr>
              <w:jc w:val="center"/>
            </w:pPr>
            <w:r>
              <w:rPr>
                <w:rFonts w:ascii="宋体" w:hAnsi="宋体" w:eastAsia="宋体"/>
                <w:sz w:val="16"/>
              </w:rPr>
              <w:t>=300公里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2F8E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F9AD7">
            <w:pPr>
              <w:jc w:val="center"/>
            </w:pPr>
          </w:p>
        </w:tc>
      </w:tr>
      <w:tr w14:paraId="4E4D5D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3A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83D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C1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773AC">
            <w:pPr>
              <w:jc w:val="center"/>
            </w:pPr>
            <w:r>
              <w:rPr>
                <w:rFonts w:ascii="宋体" w:hAnsi="宋体" w:eastAsia="宋体"/>
                <w:sz w:val="16"/>
              </w:rPr>
              <w:t>建设项目工程质量合格率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47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B9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409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89A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14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6E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6E5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4555C">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8413">
            <w:pPr>
              <w:jc w:val="center"/>
            </w:pPr>
          </w:p>
        </w:tc>
      </w:tr>
      <w:tr w14:paraId="5AAEC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71A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A22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707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3C85">
            <w:pPr>
              <w:jc w:val="center"/>
            </w:pPr>
            <w:r>
              <w:rPr>
                <w:rFonts w:ascii="宋体" w:hAnsi="宋体" w:eastAsia="宋体"/>
                <w:sz w:val="16"/>
              </w:rPr>
              <w:t>建设任务按期完成率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8C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8E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6D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D9B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1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9C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28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8E8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BCE88">
            <w:pPr>
              <w:jc w:val="center"/>
            </w:pPr>
          </w:p>
        </w:tc>
      </w:tr>
      <w:tr w14:paraId="7B2A1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D2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16B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FA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701F">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DFBA9">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F2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00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211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54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18E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79D84">
            <w:pPr>
              <w:jc w:val="center"/>
            </w:pPr>
            <w:r>
              <w:rPr>
                <w:rFonts w:ascii="宋体" w:hAnsi="宋体" w:eastAsia="宋体"/>
                <w:sz w:val="16"/>
              </w:rPr>
              <w:t>=58.9%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BF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07EA">
            <w:pPr>
              <w:jc w:val="center"/>
            </w:pPr>
            <w:r>
              <w:rPr>
                <w:rFonts w:ascii="宋体" w:hAnsi="宋体" w:eastAsia="宋体"/>
                <w:sz w:val="16"/>
              </w:rPr>
              <w:t>原因：根据实际工程进度进行支出，剩余资金结转至2025年进行支出；措施：尽快项目支付进度，做好项目计划，减少偏差。</w:t>
            </w:r>
          </w:p>
        </w:tc>
      </w:tr>
      <w:tr w14:paraId="378A3A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4FF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9A4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0EFC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F9522">
            <w:pPr>
              <w:jc w:val="center"/>
            </w:pPr>
            <w:r>
              <w:rPr>
                <w:rFonts w:ascii="宋体" w:hAnsi="宋体" w:eastAsia="宋体"/>
                <w:sz w:val="16"/>
              </w:rPr>
              <w:t>对经济发展促进作用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64BA">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DB4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7E0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D3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7A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B28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23ED">
            <w:pPr>
              <w:jc w:val="center"/>
            </w:pPr>
            <w:r>
              <w:rPr>
                <w:rFonts w:ascii="宋体" w:hAnsi="宋体" w:eastAsia="宋体"/>
                <w:sz w:val="16"/>
              </w:rPr>
              <w:t>明显提升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6228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C664B">
            <w:pPr>
              <w:jc w:val="center"/>
            </w:pPr>
          </w:p>
        </w:tc>
      </w:tr>
      <w:tr w14:paraId="4FCE9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5F6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FB7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E536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213A">
            <w:pPr>
              <w:jc w:val="center"/>
            </w:pPr>
            <w:r>
              <w:rPr>
                <w:rFonts w:ascii="宋体" w:hAnsi="宋体" w:eastAsia="宋体"/>
                <w:sz w:val="16"/>
              </w:rPr>
              <w:t>交通建设符合环评审批要求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034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BC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67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9F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E2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DC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3C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0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B152A">
            <w:pPr>
              <w:jc w:val="center"/>
            </w:pPr>
          </w:p>
        </w:tc>
      </w:tr>
      <w:tr w14:paraId="6E1A7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0BD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BD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BF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7EE17">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D203">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B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80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7A1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F3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C532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C19A">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BD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87283">
            <w:pPr>
              <w:jc w:val="center"/>
            </w:pPr>
          </w:p>
        </w:tc>
      </w:tr>
      <w:tr w14:paraId="32D05A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7723D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5CF3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8C238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03A2">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1FB996"/>
        </w:tc>
      </w:tr>
    </w:tbl>
    <w:p w14:paraId="3365EE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10EE789">
        <w:tblPrEx>
          <w:tblCellMar>
            <w:top w:w="0" w:type="dxa"/>
            <w:left w:w="108" w:type="dxa"/>
            <w:bottom w:w="0" w:type="dxa"/>
            <w:right w:w="108" w:type="dxa"/>
          </w:tblCellMar>
        </w:tblPrEx>
        <w:tc>
          <w:tcPr>
            <w:tcW w:w="8848" w:type="dxa"/>
            <w:gridSpan w:val="14"/>
            <w:vAlign w:val="center"/>
          </w:tcPr>
          <w:p w14:paraId="4B897E9B">
            <w:pPr>
              <w:jc w:val="center"/>
            </w:pPr>
            <w:r>
              <w:rPr>
                <w:rFonts w:ascii="宋体" w:hAnsi="宋体" w:eastAsia="宋体"/>
                <w:sz w:val="24"/>
              </w:rPr>
              <w:t>项目支出绩效自评表</w:t>
            </w:r>
          </w:p>
        </w:tc>
      </w:tr>
      <w:tr w14:paraId="1CEAD486">
        <w:tblPrEx>
          <w:tblCellMar>
            <w:top w:w="0" w:type="dxa"/>
            <w:left w:w="108" w:type="dxa"/>
            <w:bottom w:w="0" w:type="dxa"/>
            <w:right w:w="108" w:type="dxa"/>
          </w:tblCellMar>
        </w:tblPrEx>
        <w:tc>
          <w:tcPr>
            <w:tcW w:w="8848" w:type="dxa"/>
            <w:gridSpan w:val="14"/>
            <w:vAlign w:val="center"/>
          </w:tcPr>
          <w:p w14:paraId="17436CD4">
            <w:pPr>
              <w:jc w:val="center"/>
            </w:pPr>
            <w:r>
              <w:rPr>
                <w:rFonts w:ascii="宋体" w:hAnsi="宋体" w:eastAsia="宋体"/>
                <w:sz w:val="24"/>
              </w:rPr>
              <w:t>(2024年度)</w:t>
            </w:r>
          </w:p>
        </w:tc>
      </w:tr>
      <w:tr w14:paraId="0916D2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E1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6C874E">
            <w:pPr>
              <w:jc w:val="center"/>
            </w:pPr>
            <w:r>
              <w:rPr>
                <w:rFonts w:ascii="宋体" w:hAnsi="宋体" w:eastAsia="宋体"/>
                <w:sz w:val="16"/>
              </w:rPr>
              <w:t>2024年度养护项目</w:t>
            </w:r>
          </w:p>
        </w:tc>
      </w:tr>
      <w:tr w14:paraId="28A658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F6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489B8F">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B1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AC6DD">
            <w:pPr>
              <w:jc w:val="center"/>
            </w:pPr>
            <w:r>
              <w:rPr>
                <w:rFonts w:ascii="宋体" w:hAnsi="宋体" w:eastAsia="宋体"/>
                <w:sz w:val="16"/>
              </w:rPr>
              <w:t>阿图什市交通运输局</w:t>
            </w:r>
          </w:p>
        </w:tc>
      </w:tr>
      <w:tr w14:paraId="1A45C0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E6CC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EA7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8B9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2F1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FFD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C57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228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2A7B">
            <w:pPr>
              <w:jc w:val="center"/>
            </w:pPr>
            <w:r>
              <w:rPr>
                <w:rFonts w:ascii="宋体" w:hAnsi="宋体" w:eastAsia="宋体"/>
                <w:sz w:val="16"/>
              </w:rPr>
              <w:t>得分</w:t>
            </w:r>
          </w:p>
        </w:tc>
      </w:tr>
      <w:tr w14:paraId="5CE00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7AA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195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117E9">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1AA37">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84CB9">
            <w:pPr>
              <w:jc w:val="center"/>
            </w:pPr>
            <w:r>
              <w:rPr>
                <w:rFonts w:ascii="宋体" w:hAnsi="宋体" w:eastAsia="宋体"/>
                <w:sz w:val="16"/>
              </w:rPr>
              <w:t>84.84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3C6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7474">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00242">
            <w:pPr>
              <w:jc w:val="center"/>
            </w:pPr>
            <w:r>
              <w:rPr>
                <w:rFonts w:ascii="宋体" w:hAnsi="宋体" w:eastAsia="宋体"/>
                <w:sz w:val="16"/>
              </w:rPr>
              <w:t>0.00分</w:t>
            </w:r>
          </w:p>
        </w:tc>
      </w:tr>
      <w:tr w14:paraId="4CD0A8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A86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747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D9773">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8756B">
            <w:pPr>
              <w:jc w:val="center"/>
            </w:pPr>
            <w:r>
              <w:rPr>
                <w:rFonts w:ascii="宋体" w:hAnsi="宋体" w:eastAsia="宋体"/>
                <w:sz w:val="16"/>
              </w:rPr>
              <w:t>291.00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A6BC">
            <w:pPr>
              <w:jc w:val="center"/>
            </w:pPr>
            <w:r>
              <w:rPr>
                <w:rFonts w:ascii="宋体" w:hAnsi="宋体" w:eastAsia="宋体"/>
                <w:sz w:val="16"/>
              </w:rPr>
              <w:t>84.84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202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41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C3E1">
            <w:pPr>
              <w:jc w:val="center"/>
            </w:pPr>
            <w:r>
              <w:rPr>
                <w:rFonts w:ascii="宋体" w:hAnsi="宋体" w:eastAsia="宋体"/>
                <w:sz w:val="16"/>
              </w:rPr>
              <w:t>—</w:t>
            </w:r>
          </w:p>
        </w:tc>
      </w:tr>
      <w:tr w14:paraId="60831C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6D7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253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322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B8A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92C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FF5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2B1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CEAF">
            <w:pPr>
              <w:jc w:val="center"/>
            </w:pPr>
            <w:r>
              <w:rPr>
                <w:rFonts w:ascii="宋体" w:hAnsi="宋体" w:eastAsia="宋体"/>
                <w:sz w:val="16"/>
              </w:rPr>
              <w:t>—</w:t>
            </w:r>
          </w:p>
        </w:tc>
      </w:tr>
      <w:tr w14:paraId="66E92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18E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EC53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D103E2">
            <w:pPr>
              <w:jc w:val="center"/>
            </w:pPr>
            <w:r>
              <w:rPr>
                <w:rFonts w:ascii="宋体" w:hAnsi="宋体" w:eastAsia="宋体"/>
                <w:sz w:val="16"/>
              </w:rPr>
              <w:t>实际完成情况</w:t>
            </w:r>
          </w:p>
        </w:tc>
      </w:tr>
      <w:tr w14:paraId="66E3F0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856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C8471">
            <w:pPr>
              <w:jc w:val="both"/>
            </w:pPr>
            <w:r>
              <w:rPr>
                <w:rFonts w:ascii="宋体" w:hAnsi="宋体" w:eastAsia="宋体"/>
                <w:sz w:val="16"/>
              </w:rPr>
              <w:t>项目资金291万元，用于化解以前年度印花税数量1项，缴纳护路员保险期限12个月，发放补偿金数量1项。项目实施后将极大程度地方便居民出行，保障农村公路安全畅通，为</w:t>
            </w:r>
            <w:r>
              <w:rPr>
                <w:rFonts w:hint="eastAsia" w:ascii="宋体" w:hAnsi="宋体"/>
                <w:sz w:val="16"/>
                <w:lang w:eastAsia="zh-CN"/>
              </w:rPr>
              <w:t>加快</w:t>
            </w:r>
            <w:r>
              <w:rPr>
                <w:rFonts w:ascii="宋体" w:hAnsi="宋体" w:eastAsia="宋体"/>
                <w:sz w:val="16"/>
              </w:rPr>
              <w:t xml:space="preserve">推进农业农村现代化提供保障。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643880">
            <w:pPr>
              <w:jc w:val="both"/>
            </w:pPr>
            <w:r>
              <w:rPr>
                <w:rFonts w:ascii="宋体" w:hAnsi="宋体" w:eastAsia="宋体"/>
                <w:sz w:val="16"/>
              </w:rPr>
              <w:t>本项目共计支出84.84万元，用于化解以前年度印花税数量1项，缴纳护路员保险期限12个月，发放补偿金数量1项；通过实施本项目将极大程度地方便居民出行，保障农村公路安全畅通，为加大推进农业农村现代化提供保障。</w:t>
            </w:r>
          </w:p>
        </w:tc>
      </w:tr>
      <w:tr w14:paraId="13FCC9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49C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454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E50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37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BDE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39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EC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52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44E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EB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2AC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F5E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2C557">
            <w:pPr>
              <w:jc w:val="center"/>
            </w:pPr>
            <w:r>
              <w:rPr>
                <w:rFonts w:ascii="宋体" w:hAnsi="宋体" w:eastAsia="宋体"/>
                <w:sz w:val="16"/>
              </w:rPr>
              <w:t>偏差原因分析及改进措施</w:t>
            </w:r>
          </w:p>
        </w:tc>
      </w:tr>
      <w:tr w14:paraId="72946B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B2BB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2DBA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4F6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34FB">
            <w:pPr>
              <w:jc w:val="center"/>
            </w:pPr>
            <w:r>
              <w:rPr>
                <w:rFonts w:ascii="宋体" w:hAnsi="宋体" w:eastAsia="宋体"/>
                <w:sz w:val="16"/>
              </w:rPr>
              <w:t>化解以前年度印花税数量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B9672">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BCA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15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2F1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05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97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B97B">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DFB5">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21E9F">
            <w:pPr>
              <w:jc w:val="center"/>
            </w:pPr>
          </w:p>
        </w:tc>
      </w:tr>
      <w:tr w14:paraId="23170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C9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5DA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3D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5981">
            <w:pPr>
              <w:jc w:val="center"/>
            </w:pPr>
            <w:r>
              <w:rPr>
                <w:rFonts w:ascii="宋体" w:hAnsi="宋体" w:eastAsia="宋体"/>
                <w:sz w:val="16"/>
              </w:rPr>
              <w:t>缴纳护路员保险期限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8FF3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41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FE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04A8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6D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60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CB79">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CC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4142B">
            <w:pPr>
              <w:jc w:val="center"/>
            </w:pPr>
          </w:p>
        </w:tc>
      </w:tr>
      <w:tr w14:paraId="3405C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A04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B7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3E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72AF">
            <w:pPr>
              <w:jc w:val="center"/>
            </w:pPr>
            <w:r>
              <w:rPr>
                <w:rFonts w:ascii="宋体" w:hAnsi="宋体" w:eastAsia="宋体"/>
                <w:sz w:val="16"/>
              </w:rPr>
              <w:t>发放补偿金数量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83C1">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7D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7C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E8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AE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245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7713">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148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67C8A">
            <w:pPr>
              <w:jc w:val="center"/>
            </w:pPr>
          </w:p>
        </w:tc>
      </w:tr>
      <w:tr w14:paraId="095C9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BB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4F2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94D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CF6A">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7B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50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78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4D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F4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2D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E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CF0F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0F400">
            <w:pPr>
              <w:jc w:val="center"/>
            </w:pPr>
          </w:p>
        </w:tc>
      </w:tr>
      <w:tr w14:paraId="4F78A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AEE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E0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278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B97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D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2E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AF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CE15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04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6ED5B">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750D">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A10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2274A">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769C0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114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E4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18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C8F2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6E364">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F2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B3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9F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766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5F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B358">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B58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523D2">
            <w:pPr>
              <w:jc w:val="center"/>
            </w:pPr>
          </w:p>
        </w:tc>
      </w:tr>
      <w:tr w14:paraId="4BFF9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8B0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2E9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91D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4CFDD">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606E">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9D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8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AD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D8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B2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4AC1">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32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75FFD">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2492D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BA5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13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B5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798D">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4373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D5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A7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6B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2BD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2843">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32D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D1B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8F6D">
            <w:pPr>
              <w:jc w:val="center"/>
            </w:pPr>
          </w:p>
        </w:tc>
      </w:tr>
      <w:tr w14:paraId="0A2967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39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81A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6C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EB224">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29E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95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DC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E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3A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C755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8384">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B2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6DC6C">
            <w:pPr>
              <w:jc w:val="center"/>
            </w:pPr>
          </w:p>
        </w:tc>
      </w:tr>
      <w:tr w14:paraId="6FD3DE6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BFED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07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21A6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737A">
            <w:pPr>
              <w:jc w:val="center"/>
            </w:pPr>
            <w:r>
              <w:rPr>
                <w:rFonts w:ascii="宋体" w:hAnsi="宋体" w:eastAsia="宋体"/>
                <w:sz w:val="16"/>
              </w:rPr>
              <w:t>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DBAA40"/>
        </w:tc>
      </w:tr>
    </w:tbl>
    <w:p w14:paraId="563BE4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8CB3EBB">
        <w:tblPrEx>
          <w:tblCellMar>
            <w:top w:w="0" w:type="dxa"/>
            <w:left w:w="108" w:type="dxa"/>
            <w:bottom w:w="0" w:type="dxa"/>
            <w:right w:w="108" w:type="dxa"/>
          </w:tblCellMar>
        </w:tblPrEx>
        <w:tc>
          <w:tcPr>
            <w:tcW w:w="8848" w:type="dxa"/>
            <w:gridSpan w:val="14"/>
            <w:vAlign w:val="center"/>
          </w:tcPr>
          <w:p w14:paraId="447541FE">
            <w:pPr>
              <w:jc w:val="center"/>
            </w:pPr>
            <w:r>
              <w:rPr>
                <w:rFonts w:ascii="宋体" w:hAnsi="宋体" w:eastAsia="宋体"/>
                <w:sz w:val="24"/>
              </w:rPr>
              <w:t>项目支出绩效自评表</w:t>
            </w:r>
          </w:p>
        </w:tc>
      </w:tr>
      <w:tr w14:paraId="6495BF4C">
        <w:tblPrEx>
          <w:tblCellMar>
            <w:top w:w="0" w:type="dxa"/>
            <w:left w:w="108" w:type="dxa"/>
            <w:bottom w:w="0" w:type="dxa"/>
            <w:right w:w="108" w:type="dxa"/>
          </w:tblCellMar>
        </w:tblPrEx>
        <w:tc>
          <w:tcPr>
            <w:tcW w:w="8848" w:type="dxa"/>
            <w:gridSpan w:val="14"/>
            <w:vAlign w:val="center"/>
          </w:tcPr>
          <w:p w14:paraId="3F4E0897">
            <w:pPr>
              <w:jc w:val="center"/>
            </w:pPr>
            <w:r>
              <w:rPr>
                <w:rFonts w:ascii="宋体" w:hAnsi="宋体" w:eastAsia="宋体"/>
                <w:sz w:val="24"/>
              </w:rPr>
              <w:t>(2024年度)</w:t>
            </w:r>
          </w:p>
        </w:tc>
      </w:tr>
      <w:tr w14:paraId="02343B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48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B365E3">
            <w:pPr>
              <w:jc w:val="center"/>
            </w:pPr>
            <w:r>
              <w:rPr>
                <w:rFonts w:ascii="宋体" w:hAnsi="宋体" w:eastAsia="宋体"/>
                <w:sz w:val="16"/>
              </w:rPr>
              <w:t>2024年超长期国债支持交通运输领域消费品以旧换新配套资金项目</w:t>
            </w:r>
          </w:p>
        </w:tc>
      </w:tr>
      <w:tr w14:paraId="03CDD4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D5E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AB3CC">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4B77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CCC9F2">
            <w:pPr>
              <w:jc w:val="center"/>
            </w:pPr>
            <w:r>
              <w:rPr>
                <w:rFonts w:ascii="宋体" w:hAnsi="宋体" w:eastAsia="宋体"/>
                <w:sz w:val="16"/>
              </w:rPr>
              <w:t>阿图什市交通运输局</w:t>
            </w:r>
          </w:p>
        </w:tc>
      </w:tr>
      <w:tr w14:paraId="4DAB92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818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CE5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D39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E9D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BF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038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50BD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DCFB7">
            <w:pPr>
              <w:jc w:val="center"/>
            </w:pPr>
            <w:r>
              <w:rPr>
                <w:rFonts w:ascii="宋体" w:hAnsi="宋体" w:eastAsia="宋体"/>
                <w:sz w:val="16"/>
              </w:rPr>
              <w:t>得分</w:t>
            </w:r>
          </w:p>
        </w:tc>
      </w:tr>
      <w:tr w14:paraId="30835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65F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22E4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D8A83">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2A85A">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9BDDD">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77F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B53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78CE">
            <w:pPr>
              <w:jc w:val="center"/>
            </w:pPr>
            <w:r>
              <w:rPr>
                <w:rFonts w:ascii="宋体" w:hAnsi="宋体" w:eastAsia="宋体"/>
                <w:sz w:val="16"/>
              </w:rPr>
              <w:t>10.00分</w:t>
            </w:r>
          </w:p>
        </w:tc>
      </w:tr>
      <w:tr w14:paraId="77BC2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6E2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B0E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9445B">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E1C96">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36DA6">
            <w:pPr>
              <w:jc w:val="center"/>
            </w:pPr>
            <w:r>
              <w:rPr>
                <w:rFonts w:ascii="宋体" w:hAnsi="宋体" w:eastAsia="宋体"/>
                <w:sz w:val="16"/>
              </w:rPr>
              <w:t>464.90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A6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74E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334E">
            <w:pPr>
              <w:jc w:val="center"/>
            </w:pPr>
            <w:r>
              <w:rPr>
                <w:rFonts w:ascii="宋体" w:hAnsi="宋体" w:eastAsia="宋体"/>
                <w:sz w:val="16"/>
              </w:rPr>
              <w:t>—</w:t>
            </w:r>
          </w:p>
        </w:tc>
      </w:tr>
      <w:tr w14:paraId="17B466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FF2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4EC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49B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A16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210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A7B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3BE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1DB5">
            <w:pPr>
              <w:jc w:val="center"/>
            </w:pPr>
            <w:r>
              <w:rPr>
                <w:rFonts w:ascii="宋体" w:hAnsi="宋体" w:eastAsia="宋体"/>
                <w:sz w:val="16"/>
              </w:rPr>
              <w:t>—</w:t>
            </w:r>
          </w:p>
        </w:tc>
      </w:tr>
      <w:tr w14:paraId="0A28B2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1B0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8470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081DA">
            <w:pPr>
              <w:jc w:val="center"/>
            </w:pPr>
            <w:r>
              <w:rPr>
                <w:rFonts w:ascii="宋体" w:hAnsi="宋体" w:eastAsia="宋体"/>
                <w:sz w:val="16"/>
              </w:rPr>
              <w:t>实际完成情况</w:t>
            </w:r>
          </w:p>
        </w:tc>
      </w:tr>
      <w:tr w14:paraId="733E8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4FB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58968D">
            <w:pPr>
              <w:jc w:val="both"/>
            </w:pPr>
            <w:r>
              <w:rPr>
                <w:rFonts w:ascii="宋体" w:hAnsi="宋体" w:eastAsia="宋体"/>
                <w:sz w:val="16"/>
              </w:rPr>
              <w:t>为落实国家和自治区关于《推动大规模设备更新和消费品以旧换新行动方案》《交通运输大规模设备更新行动方案》和《自治区推动大规模设备更新和消费品以旧换新实施方案》要求，本年度下达资金464.9万元，用于老旧营运货车报废更新106辆；通过实施本项目有效推动道路运输行业清洁化、低碳化发展，促进货车行业技术进步和产业发展，为地方产业生产发展提供保障，助力交通运输行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9EBE40">
            <w:pPr>
              <w:jc w:val="both"/>
            </w:pPr>
            <w:r>
              <w:rPr>
                <w:rFonts w:ascii="宋体" w:hAnsi="宋体" w:eastAsia="宋体"/>
                <w:sz w:val="16"/>
              </w:rPr>
              <w:t>本项目共计支出464.9万元，主要用于发放老旧营运货车报废更新补贴，发放补贴车辆106辆；通过实施本项目有效推动道路运输行业清洁化、低碳化发展，促进货车行业技术进步和产业发展，为地方产业生产发展提供保障，助力交通运输行业高质量发展。</w:t>
            </w:r>
          </w:p>
        </w:tc>
      </w:tr>
      <w:tr w14:paraId="5BF718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6D10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AA8A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83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2D3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B8C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5F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3D1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68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5A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0BE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00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8D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4CB24">
            <w:pPr>
              <w:jc w:val="center"/>
            </w:pPr>
            <w:r>
              <w:rPr>
                <w:rFonts w:ascii="宋体" w:hAnsi="宋体" w:eastAsia="宋体"/>
                <w:sz w:val="16"/>
              </w:rPr>
              <w:t>偏差原因分析及改进措施</w:t>
            </w:r>
          </w:p>
        </w:tc>
      </w:tr>
      <w:tr w14:paraId="5CE47D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E8F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A27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924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5AC0">
            <w:pPr>
              <w:jc w:val="center"/>
            </w:pPr>
            <w:r>
              <w:rPr>
                <w:rFonts w:ascii="宋体" w:hAnsi="宋体" w:eastAsia="宋体"/>
                <w:sz w:val="16"/>
              </w:rPr>
              <w:t>老旧营运货车报废及更新数量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7A22">
            <w:pPr>
              <w:jc w:val="center"/>
            </w:pPr>
            <w:r>
              <w:rPr>
                <w:rFonts w:ascii="宋体" w:hAnsi="宋体" w:eastAsia="宋体"/>
                <w:sz w:val="16"/>
              </w:rPr>
              <w:t>&gt;=106辆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72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D9E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00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8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A4D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7084">
            <w:pPr>
              <w:jc w:val="center"/>
            </w:pPr>
            <w:r>
              <w:rPr>
                <w:rFonts w:ascii="宋体" w:hAnsi="宋体" w:eastAsia="宋体"/>
                <w:sz w:val="16"/>
              </w:rPr>
              <w:t>=106辆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3D9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7237C">
            <w:pPr>
              <w:jc w:val="center"/>
            </w:pPr>
          </w:p>
        </w:tc>
      </w:tr>
      <w:tr w14:paraId="1FFD4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1D7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373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50F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0248">
            <w:pPr>
              <w:jc w:val="center"/>
            </w:pPr>
            <w:r>
              <w:rPr>
                <w:rFonts w:ascii="宋体" w:hAnsi="宋体" w:eastAsia="宋体"/>
                <w:sz w:val="16"/>
              </w:rPr>
              <w:t>申请购置补助车辆的合格率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7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A1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27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4D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CE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1F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E2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E5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DC59B">
            <w:pPr>
              <w:jc w:val="center"/>
            </w:pPr>
          </w:p>
        </w:tc>
      </w:tr>
      <w:tr w14:paraId="74589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2DA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86C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C97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0353">
            <w:pPr>
              <w:jc w:val="center"/>
            </w:pPr>
            <w:r>
              <w:rPr>
                <w:rFonts w:ascii="宋体" w:hAnsi="宋体" w:eastAsia="宋体"/>
                <w:sz w:val="16"/>
              </w:rPr>
              <w:t>补助资金规范使用率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F7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C2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E4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75F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43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ED14">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1F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A8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516A5">
            <w:pPr>
              <w:jc w:val="center"/>
            </w:pPr>
          </w:p>
        </w:tc>
      </w:tr>
      <w:tr w14:paraId="7F5ED9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7E8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0A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79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C988">
            <w:pPr>
              <w:jc w:val="center"/>
            </w:pPr>
            <w:r>
              <w:rPr>
                <w:rFonts w:ascii="宋体" w:hAnsi="宋体" w:eastAsia="宋体"/>
                <w:sz w:val="16"/>
              </w:rPr>
              <w:t>老旧报废设备更新时效性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0DB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85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9A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EE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22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DC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D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8C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3C4FD">
            <w:pPr>
              <w:jc w:val="center"/>
            </w:pPr>
          </w:p>
        </w:tc>
      </w:tr>
      <w:tr w14:paraId="6FC1F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C20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67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96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9CCBE">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66EB8">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BF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3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71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06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76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B8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3EE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C74D2">
            <w:pPr>
              <w:jc w:val="center"/>
            </w:pPr>
          </w:p>
        </w:tc>
      </w:tr>
      <w:tr w14:paraId="0BC87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FD1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85801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5512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FAA5">
            <w:pPr>
              <w:jc w:val="center"/>
            </w:pPr>
            <w:r>
              <w:rPr>
                <w:rFonts w:ascii="宋体" w:hAnsi="宋体" w:eastAsia="宋体"/>
                <w:sz w:val="16"/>
              </w:rPr>
              <w:t>老旧设备改善程度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45EB3">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3F0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A6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B59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AF4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5936">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7CDC">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FF4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81529">
            <w:pPr>
              <w:jc w:val="center"/>
            </w:pPr>
          </w:p>
        </w:tc>
      </w:tr>
      <w:tr w14:paraId="30334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F6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D3E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F3B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E4772">
            <w:pPr>
              <w:jc w:val="center"/>
            </w:pPr>
            <w:r>
              <w:rPr>
                <w:rFonts w:ascii="宋体" w:hAnsi="宋体" w:eastAsia="宋体"/>
                <w:sz w:val="16"/>
              </w:rPr>
              <w:t>环境保护成效性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7F67">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E8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830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40D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21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6D34">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F39C3">
            <w:pPr>
              <w:jc w:val="center"/>
            </w:pPr>
            <w:r>
              <w:rPr>
                <w:rFonts w:ascii="宋体" w:hAnsi="宋体" w:eastAsia="宋体"/>
                <w:sz w:val="16"/>
              </w:rPr>
              <w:t>不断提升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6F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B2C5D">
            <w:pPr>
              <w:jc w:val="center"/>
            </w:pPr>
          </w:p>
        </w:tc>
      </w:tr>
      <w:tr w14:paraId="521B2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F9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BD7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63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1B824">
            <w:pPr>
              <w:jc w:val="center"/>
            </w:pPr>
            <w:r>
              <w:rPr>
                <w:rFonts w:ascii="宋体" w:hAnsi="宋体" w:eastAsia="宋体"/>
                <w:sz w:val="16"/>
              </w:rPr>
              <w:t>改善服务对象满意度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C8B2">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16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A5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E1C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14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561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B9905">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5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0BDC9">
            <w:pPr>
              <w:jc w:val="center"/>
            </w:pPr>
          </w:p>
        </w:tc>
      </w:tr>
      <w:tr w14:paraId="50A4BE2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36D2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E0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C0F9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DEF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6CBDE04"/>
        </w:tc>
      </w:tr>
    </w:tbl>
    <w:p w14:paraId="1C63D13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856"/>
        <w:gridCol w:w="626"/>
        <w:gridCol w:w="626"/>
        <w:gridCol w:w="627"/>
        <w:gridCol w:w="624"/>
        <w:gridCol w:w="629"/>
        <w:gridCol w:w="696"/>
        <w:gridCol w:w="630"/>
        <w:gridCol w:w="615"/>
        <w:gridCol w:w="630"/>
      </w:tblGrid>
      <w:tr w14:paraId="7D4BCF78">
        <w:tblPrEx>
          <w:tblCellMar>
            <w:top w:w="0" w:type="dxa"/>
            <w:left w:w="108" w:type="dxa"/>
            <w:bottom w:w="0" w:type="dxa"/>
            <w:right w:w="108" w:type="dxa"/>
          </w:tblCellMar>
        </w:tblPrEx>
        <w:tc>
          <w:tcPr>
            <w:tcW w:w="8848" w:type="dxa"/>
            <w:gridSpan w:val="14"/>
            <w:vAlign w:val="center"/>
          </w:tcPr>
          <w:p w14:paraId="0693353A">
            <w:pPr>
              <w:jc w:val="center"/>
            </w:pPr>
            <w:r>
              <w:rPr>
                <w:rFonts w:ascii="宋体" w:hAnsi="宋体" w:eastAsia="宋体"/>
                <w:sz w:val="24"/>
              </w:rPr>
              <w:t>项目支出绩效自评表</w:t>
            </w:r>
          </w:p>
        </w:tc>
      </w:tr>
      <w:tr w14:paraId="38AD2158">
        <w:tblPrEx>
          <w:tblCellMar>
            <w:top w:w="0" w:type="dxa"/>
            <w:left w:w="108" w:type="dxa"/>
            <w:bottom w:w="0" w:type="dxa"/>
            <w:right w:w="108" w:type="dxa"/>
          </w:tblCellMar>
        </w:tblPrEx>
        <w:tc>
          <w:tcPr>
            <w:tcW w:w="8848" w:type="dxa"/>
            <w:gridSpan w:val="14"/>
            <w:vAlign w:val="center"/>
          </w:tcPr>
          <w:p w14:paraId="2321913C">
            <w:pPr>
              <w:jc w:val="center"/>
            </w:pPr>
            <w:r>
              <w:rPr>
                <w:rFonts w:ascii="宋体" w:hAnsi="宋体" w:eastAsia="宋体"/>
                <w:sz w:val="24"/>
              </w:rPr>
              <w:t>(2024年度)</w:t>
            </w:r>
          </w:p>
        </w:tc>
      </w:tr>
      <w:tr w14:paraId="5D4994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9D9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F48D26">
            <w:pPr>
              <w:jc w:val="center"/>
            </w:pPr>
            <w:r>
              <w:rPr>
                <w:rFonts w:ascii="宋体" w:hAnsi="宋体" w:eastAsia="宋体"/>
                <w:sz w:val="16"/>
              </w:rPr>
              <w:t>2024年车辆购置税收入补助地方（第一批）用于普通省道及农村公路建设“以奖代补”资金项目</w:t>
            </w:r>
          </w:p>
        </w:tc>
      </w:tr>
      <w:tr w14:paraId="50DA46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BA4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3D717">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F89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16F6A6">
            <w:pPr>
              <w:jc w:val="center"/>
            </w:pPr>
            <w:r>
              <w:rPr>
                <w:rFonts w:ascii="宋体" w:hAnsi="宋体" w:eastAsia="宋体"/>
                <w:sz w:val="16"/>
              </w:rPr>
              <w:t>阿图什市交通运输局</w:t>
            </w:r>
          </w:p>
        </w:tc>
      </w:tr>
      <w:tr w14:paraId="66D810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CE4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146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91F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D1B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343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219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D69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D284">
            <w:pPr>
              <w:jc w:val="center"/>
            </w:pPr>
            <w:r>
              <w:rPr>
                <w:rFonts w:ascii="宋体" w:hAnsi="宋体" w:eastAsia="宋体"/>
                <w:sz w:val="16"/>
              </w:rPr>
              <w:t>得分</w:t>
            </w:r>
          </w:p>
        </w:tc>
      </w:tr>
      <w:tr w14:paraId="2D02C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E1A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D3C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2EE8A">
            <w:pPr>
              <w:jc w:val="center"/>
            </w:pPr>
            <w:r>
              <w:rPr>
                <w:rFonts w:ascii="宋体" w:hAnsi="宋体" w:eastAsia="宋体"/>
                <w:sz w:val="16"/>
              </w:rPr>
              <w:t>1,700.25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52B96">
            <w:pPr>
              <w:jc w:val="center"/>
            </w:pPr>
            <w:r>
              <w:rPr>
                <w:rFonts w:ascii="宋体" w:hAnsi="宋体" w:eastAsia="宋体"/>
                <w:sz w:val="16"/>
              </w:rPr>
              <w:t>1,700.25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E9BF2">
            <w:pPr>
              <w:jc w:val="center"/>
            </w:pPr>
            <w:r>
              <w:rPr>
                <w:rFonts w:ascii="宋体" w:hAnsi="宋体" w:eastAsia="宋体"/>
                <w:sz w:val="16"/>
              </w:rPr>
              <w:t>890.19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7C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382B7">
            <w:pPr>
              <w:jc w:val="center"/>
            </w:pPr>
            <w:r>
              <w:rPr>
                <w:rFonts w:ascii="宋体" w:hAnsi="宋体" w:eastAsia="宋体"/>
                <w:sz w:val="16"/>
              </w:rPr>
              <w:t>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DA62">
            <w:pPr>
              <w:jc w:val="center"/>
            </w:pPr>
            <w:r>
              <w:rPr>
                <w:rFonts w:ascii="宋体" w:hAnsi="宋体" w:eastAsia="宋体"/>
                <w:sz w:val="16"/>
              </w:rPr>
              <w:t>0.00分</w:t>
            </w:r>
          </w:p>
        </w:tc>
      </w:tr>
      <w:tr w14:paraId="076CB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C41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B2B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403EA">
            <w:pPr>
              <w:jc w:val="center"/>
            </w:pPr>
            <w:r>
              <w:rPr>
                <w:rFonts w:ascii="宋体" w:hAnsi="宋体" w:eastAsia="宋体"/>
                <w:sz w:val="16"/>
              </w:rPr>
              <w:t>1,700.25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F41E5">
            <w:pPr>
              <w:jc w:val="center"/>
            </w:pPr>
            <w:r>
              <w:rPr>
                <w:rFonts w:ascii="宋体" w:hAnsi="宋体" w:eastAsia="宋体"/>
                <w:sz w:val="16"/>
              </w:rPr>
              <w:t>1,700.25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02AB">
            <w:pPr>
              <w:jc w:val="center"/>
            </w:pPr>
            <w:r>
              <w:rPr>
                <w:rFonts w:ascii="宋体" w:hAnsi="宋体" w:eastAsia="宋体"/>
                <w:sz w:val="16"/>
              </w:rPr>
              <w:t>890.19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654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213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7FAD7">
            <w:pPr>
              <w:jc w:val="center"/>
            </w:pPr>
            <w:r>
              <w:rPr>
                <w:rFonts w:ascii="宋体" w:hAnsi="宋体" w:eastAsia="宋体"/>
                <w:sz w:val="16"/>
              </w:rPr>
              <w:t>—</w:t>
            </w:r>
          </w:p>
        </w:tc>
      </w:tr>
      <w:tr w14:paraId="0C4C3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AA3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BAB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C2B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D8B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4E0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A7A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42B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7C8E">
            <w:pPr>
              <w:jc w:val="center"/>
            </w:pPr>
            <w:r>
              <w:rPr>
                <w:rFonts w:ascii="宋体" w:hAnsi="宋体" w:eastAsia="宋体"/>
                <w:sz w:val="16"/>
              </w:rPr>
              <w:t>—</w:t>
            </w:r>
          </w:p>
        </w:tc>
      </w:tr>
      <w:tr w14:paraId="344D1B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114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4A0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44561">
            <w:pPr>
              <w:jc w:val="center"/>
            </w:pPr>
            <w:r>
              <w:rPr>
                <w:rFonts w:ascii="宋体" w:hAnsi="宋体" w:eastAsia="宋体"/>
                <w:sz w:val="16"/>
              </w:rPr>
              <w:t>实际完成情况</w:t>
            </w:r>
          </w:p>
        </w:tc>
      </w:tr>
      <w:tr w14:paraId="7633B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BEC0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5DB390">
            <w:pPr>
              <w:jc w:val="both"/>
            </w:pPr>
            <w:r>
              <w:rPr>
                <w:rFonts w:ascii="宋体" w:hAnsi="宋体" w:eastAsia="宋体"/>
                <w:sz w:val="16"/>
              </w:rPr>
              <w:t>项目总投资1700.25万元，用于改造农村公路，完成“十四五”现代综合交通运输体系发展规划范围内的综合交通，公路等年度建设任务。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EE5E16">
            <w:pPr>
              <w:jc w:val="both"/>
            </w:pPr>
            <w:r>
              <w:rPr>
                <w:rFonts w:ascii="宋体" w:hAnsi="宋体" w:eastAsia="宋体"/>
                <w:sz w:val="16"/>
              </w:rPr>
              <w:t>本项目共计支出890.19万元，用于年度全市社会累计改建农村公路里程数76.45公里；通过实施本项目改造农村公路，完成“十四五”现代综合交通运输体系发展规划范围内的综合交通，公路等年度建设任务。</w:t>
            </w:r>
          </w:p>
        </w:tc>
      </w:tr>
      <w:tr w14:paraId="1C8304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707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BC6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FA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0A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E23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19B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2F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A0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4D92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809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38E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A14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8D57D">
            <w:pPr>
              <w:jc w:val="center"/>
            </w:pPr>
            <w:r>
              <w:rPr>
                <w:rFonts w:ascii="宋体" w:hAnsi="宋体" w:eastAsia="宋体"/>
                <w:sz w:val="16"/>
              </w:rPr>
              <w:t>偏差原因分析及改进措施</w:t>
            </w:r>
          </w:p>
        </w:tc>
      </w:tr>
      <w:tr w14:paraId="2CE469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100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788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65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0B09">
            <w:pPr>
              <w:jc w:val="center"/>
            </w:pPr>
            <w:r>
              <w:rPr>
                <w:rFonts w:ascii="宋体" w:hAnsi="宋体" w:eastAsia="宋体"/>
                <w:sz w:val="16"/>
              </w:rPr>
              <w:t>年度全市社会累计改建农村公路里程数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919E">
            <w:pPr>
              <w:jc w:val="center"/>
            </w:pPr>
            <w:r>
              <w:rPr>
                <w:rFonts w:ascii="宋体" w:hAnsi="宋体" w:eastAsia="宋体"/>
                <w:sz w:val="16"/>
              </w:rPr>
              <w:t>&gt;=112.43公里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87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A7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E1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94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AC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0B5C">
            <w:pPr>
              <w:jc w:val="center"/>
            </w:pPr>
            <w:r>
              <w:rPr>
                <w:rFonts w:ascii="宋体" w:hAnsi="宋体" w:eastAsia="宋体"/>
                <w:sz w:val="16"/>
              </w:rPr>
              <w:t>=76.45公里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380B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4A4E0">
            <w:pPr>
              <w:jc w:val="center"/>
            </w:pPr>
            <w:r>
              <w:rPr>
                <w:rFonts w:ascii="宋体" w:hAnsi="宋体" w:eastAsia="宋体"/>
                <w:sz w:val="16"/>
              </w:rPr>
              <w:t>原因：目前项目尚未完工，因此指标存在偏差；措施：加快项目实施进度，减少偏差。</w:t>
            </w:r>
          </w:p>
        </w:tc>
      </w:tr>
      <w:tr w14:paraId="28733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B0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564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CBB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7D22">
            <w:pPr>
              <w:jc w:val="center"/>
            </w:pPr>
            <w:r>
              <w:rPr>
                <w:rFonts w:ascii="宋体" w:hAnsi="宋体" w:eastAsia="宋体"/>
                <w:sz w:val="16"/>
              </w:rPr>
              <w:t>项目资金使用合规率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70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81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96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A1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4EB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B3DE6">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64E1">
            <w:pPr>
              <w:jc w:val="center"/>
            </w:pPr>
            <w:r>
              <w:rPr>
                <w:rFonts w:ascii="宋体" w:hAnsi="宋体" w:eastAsia="宋体"/>
                <w:sz w:val="16"/>
              </w:rPr>
              <w:t>=52.4%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AF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7FAB">
            <w:pPr>
              <w:jc w:val="center"/>
            </w:pPr>
            <w:r>
              <w:rPr>
                <w:rFonts w:ascii="宋体" w:hAnsi="宋体" w:eastAsia="宋体"/>
                <w:sz w:val="16"/>
              </w:rPr>
              <w:t>原因：目前项目尚未完工，因此指标存在偏差；措施：加快项目实施进度，减少偏差。</w:t>
            </w:r>
          </w:p>
        </w:tc>
      </w:tr>
      <w:tr w14:paraId="370137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B83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B6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20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E80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37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49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F8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45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7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6A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4957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A1F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8C95">
            <w:pPr>
              <w:jc w:val="center"/>
            </w:pPr>
            <w:r>
              <w:rPr>
                <w:rFonts w:ascii="宋体" w:hAnsi="宋体" w:eastAsia="宋体"/>
                <w:sz w:val="16"/>
              </w:rPr>
              <w:t>原因：目前项目尚未完工，因此指标存在偏差；措施：加快项目实施进度，减少偏差。</w:t>
            </w:r>
          </w:p>
        </w:tc>
      </w:tr>
      <w:tr w14:paraId="5157E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C1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126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D11C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BCF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36C2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3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04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47B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C9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1E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ABD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C2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DBA56">
            <w:pPr>
              <w:jc w:val="center"/>
            </w:pPr>
          </w:p>
        </w:tc>
      </w:tr>
      <w:tr w14:paraId="1FB78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FB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C6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B01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4CB6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A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13F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E2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3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02D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F0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FD94">
            <w:pPr>
              <w:jc w:val="center"/>
            </w:pPr>
            <w:r>
              <w:rPr>
                <w:rFonts w:ascii="宋体" w:hAnsi="宋体" w:eastAsia="宋体"/>
                <w:sz w:val="16"/>
              </w:rPr>
              <w:t>=68%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F461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9E17F">
            <w:pPr>
              <w:jc w:val="center"/>
            </w:pPr>
            <w:r>
              <w:rPr>
                <w:rFonts w:ascii="宋体" w:hAnsi="宋体" w:eastAsia="宋体"/>
                <w:sz w:val="16"/>
              </w:rPr>
              <w:t>原因：目前项目尚未完工，因此指标存在偏差；措施：加快项目实施进度，减少偏差。</w:t>
            </w:r>
          </w:p>
        </w:tc>
      </w:tr>
      <w:tr w14:paraId="19627D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C86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F72D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FC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DB6F">
            <w:pPr>
              <w:jc w:val="center"/>
            </w:pPr>
            <w:r>
              <w:rPr>
                <w:rFonts w:ascii="宋体" w:hAnsi="宋体" w:eastAsia="宋体"/>
                <w:sz w:val="16"/>
              </w:rPr>
              <w:t>提升基本公共服务水平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0D35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7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1FB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F29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5F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9AF2">
            <w:pPr>
              <w:jc w:val="center"/>
            </w:pPr>
            <w:r>
              <w:rPr>
                <w:rFonts w:ascii="宋体" w:hAnsi="宋体" w:eastAsia="宋体"/>
                <w:sz w:val="16"/>
              </w:rPr>
              <w:t>说明材料</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20DE">
            <w:pPr>
              <w:jc w:val="center"/>
            </w:pPr>
            <w:r>
              <w:rPr>
                <w:rFonts w:ascii="宋体" w:hAnsi="宋体" w:eastAsia="宋体"/>
                <w:sz w:val="16"/>
              </w:rPr>
              <w:t>实现程度较低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5D8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E335B">
            <w:pPr>
              <w:jc w:val="center"/>
            </w:pPr>
            <w:r>
              <w:rPr>
                <w:rFonts w:ascii="宋体" w:hAnsi="宋体" w:eastAsia="宋体"/>
                <w:sz w:val="16"/>
              </w:rPr>
              <w:t>原因：目前项目尚未完工，因此指标存在偏差；措施：加快项目实施进度，减少偏差。</w:t>
            </w:r>
          </w:p>
        </w:tc>
      </w:tr>
      <w:tr w14:paraId="773A3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D1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7F2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6A0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9C7B">
            <w:pPr>
              <w:jc w:val="center"/>
            </w:pPr>
            <w:r>
              <w:rPr>
                <w:rFonts w:ascii="宋体" w:hAnsi="宋体" w:eastAsia="宋体"/>
                <w:sz w:val="16"/>
              </w:rPr>
              <w:t>交通建设符合环评审批要求合格率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17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35A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C4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7CC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9C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AB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3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170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C64FB">
            <w:pPr>
              <w:jc w:val="center"/>
            </w:pPr>
          </w:p>
        </w:tc>
      </w:tr>
      <w:tr w14:paraId="4BCA33EF">
        <w:tblPrEx>
          <w:tblCellMar>
            <w:top w:w="0" w:type="dxa"/>
            <w:left w:w="108" w:type="dxa"/>
            <w:bottom w:w="0" w:type="dxa"/>
            <w:right w:w="108" w:type="dxa"/>
          </w:tblCellMar>
        </w:tblPrEx>
        <w:trPr>
          <w:trHeight w:val="243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DE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E25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F4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FBD29">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77D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2D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FC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2D3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3AF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EB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12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2D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12DB2">
            <w:pPr>
              <w:jc w:val="center"/>
            </w:pPr>
            <w:r>
              <w:rPr>
                <w:rFonts w:ascii="宋体" w:hAnsi="宋体" w:eastAsia="宋体"/>
                <w:sz w:val="16"/>
              </w:rPr>
              <w:t>原因：目前项目尚未完工，因此指标存在偏差；措施：加快项目实施进度，减少偏差。</w:t>
            </w:r>
          </w:p>
        </w:tc>
      </w:tr>
      <w:tr w14:paraId="275892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2BF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CAA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E03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3C54">
            <w:pPr>
              <w:jc w:val="center"/>
            </w:pPr>
            <w:r>
              <w:rPr>
                <w:rFonts w:ascii="宋体" w:hAnsi="宋体" w:eastAsia="宋体"/>
                <w:sz w:val="16"/>
              </w:rPr>
              <w:t>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C6E6CA"/>
        </w:tc>
      </w:tr>
    </w:tbl>
    <w:p w14:paraId="65FF6F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1AB69E3">
        <w:tblPrEx>
          <w:tblCellMar>
            <w:top w:w="0" w:type="dxa"/>
            <w:left w:w="108" w:type="dxa"/>
            <w:bottom w:w="0" w:type="dxa"/>
            <w:right w:w="108" w:type="dxa"/>
          </w:tblCellMar>
        </w:tblPrEx>
        <w:tc>
          <w:tcPr>
            <w:tcW w:w="8848" w:type="dxa"/>
            <w:gridSpan w:val="14"/>
            <w:vAlign w:val="center"/>
          </w:tcPr>
          <w:p w14:paraId="5557454A">
            <w:pPr>
              <w:jc w:val="center"/>
            </w:pPr>
            <w:r>
              <w:rPr>
                <w:rFonts w:ascii="宋体" w:hAnsi="宋体" w:eastAsia="宋体"/>
                <w:sz w:val="24"/>
              </w:rPr>
              <w:t>项目支出绩效自评表</w:t>
            </w:r>
          </w:p>
        </w:tc>
      </w:tr>
      <w:tr w14:paraId="7ABCFA89">
        <w:tblPrEx>
          <w:tblCellMar>
            <w:top w:w="0" w:type="dxa"/>
            <w:left w:w="108" w:type="dxa"/>
            <w:bottom w:w="0" w:type="dxa"/>
            <w:right w:w="108" w:type="dxa"/>
          </w:tblCellMar>
        </w:tblPrEx>
        <w:tc>
          <w:tcPr>
            <w:tcW w:w="8848" w:type="dxa"/>
            <w:gridSpan w:val="14"/>
            <w:vAlign w:val="center"/>
          </w:tcPr>
          <w:p w14:paraId="0B1C0D7D">
            <w:pPr>
              <w:jc w:val="center"/>
            </w:pPr>
            <w:r>
              <w:rPr>
                <w:rFonts w:ascii="宋体" w:hAnsi="宋体" w:eastAsia="宋体"/>
                <w:sz w:val="24"/>
              </w:rPr>
              <w:t>(2024年度)</w:t>
            </w:r>
          </w:p>
        </w:tc>
      </w:tr>
      <w:tr w14:paraId="71055B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B4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0B034B">
            <w:pPr>
              <w:jc w:val="center"/>
            </w:pPr>
            <w:r>
              <w:rPr>
                <w:rFonts w:ascii="宋体" w:hAnsi="宋体" w:eastAsia="宋体"/>
                <w:sz w:val="16"/>
              </w:rPr>
              <w:t>自然灾害抢修车辆租赁费项目</w:t>
            </w:r>
          </w:p>
        </w:tc>
      </w:tr>
      <w:tr w14:paraId="0824A0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69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03E4B1">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C06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AAF5CB">
            <w:pPr>
              <w:jc w:val="center"/>
            </w:pPr>
            <w:r>
              <w:rPr>
                <w:rFonts w:ascii="宋体" w:hAnsi="宋体" w:eastAsia="宋体"/>
                <w:sz w:val="16"/>
              </w:rPr>
              <w:t>阿图什市交通运输局</w:t>
            </w:r>
          </w:p>
        </w:tc>
      </w:tr>
      <w:tr w14:paraId="01DC7F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595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F3B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DC2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57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EB40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575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EC81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A070">
            <w:pPr>
              <w:jc w:val="center"/>
            </w:pPr>
            <w:r>
              <w:rPr>
                <w:rFonts w:ascii="宋体" w:hAnsi="宋体" w:eastAsia="宋体"/>
                <w:sz w:val="16"/>
              </w:rPr>
              <w:t>得分</w:t>
            </w:r>
          </w:p>
        </w:tc>
      </w:tr>
      <w:tr w14:paraId="6486C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B98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9776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6D5E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61B8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FB2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3FF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C9C58">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B43B">
            <w:pPr>
              <w:jc w:val="center"/>
            </w:pPr>
            <w:r>
              <w:rPr>
                <w:rFonts w:ascii="宋体" w:hAnsi="宋体" w:eastAsia="宋体"/>
                <w:sz w:val="16"/>
              </w:rPr>
              <w:t>0.00分</w:t>
            </w:r>
          </w:p>
        </w:tc>
      </w:tr>
      <w:tr w14:paraId="778FC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0F6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EF6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86BD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3913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613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61E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2E3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4BF45">
            <w:pPr>
              <w:jc w:val="center"/>
            </w:pPr>
            <w:r>
              <w:rPr>
                <w:rFonts w:ascii="宋体" w:hAnsi="宋体" w:eastAsia="宋体"/>
                <w:sz w:val="16"/>
              </w:rPr>
              <w:t>—</w:t>
            </w:r>
          </w:p>
        </w:tc>
      </w:tr>
      <w:tr w14:paraId="5CECE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0A3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739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D97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3CF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E3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A8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55B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FA54">
            <w:pPr>
              <w:jc w:val="center"/>
            </w:pPr>
            <w:r>
              <w:rPr>
                <w:rFonts w:ascii="宋体" w:hAnsi="宋体" w:eastAsia="宋体"/>
                <w:sz w:val="16"/>
              </w:rPr>
              <w:t>—</w:t>
            </w:r>
          </w:p>
        </w:tc>
      </w:tr>
      <w:tr w14:paraId="65F017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3278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F106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FB2F9F">
            <w:pPr>
              <w:jc w:val="center"/>
            </w:pPr>
            <w:r>
              <w:rPr>
                <w:rFonts w:ascii="宋体" w:hAnsi="宋体" w:eastAsia="宋体"/>
                <w:sz w:val="16"/>
              </w:rPr>
              <w:t>实际完成情况</w:t>
            </w:r>
          </w:p>
        </w:tc>
      </w:tr>
      <w:tr w14:paraId="550666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440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712466">
            <w:pPr>
              <w:jc w:val="both"/>
            </w:pPr>
            <w:r>
              <w:rPr>
                <w:rFonts w:ascii="宋体" w:hAnsi="宋体" w:eastAsia="宋体"/>
                <w:sz w:val="16"/>
              </w:rPr>
              <w:t xml:space="preserve">项目资金10万元，全部用于自然灾害抢修，项目实施后将极大程度地方便居民出行，保障农村公路安全畅通，为加大推进农业农村现代化提供保障。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EF2A67">
            <w:pPr>
              <w:jc w:val="both"/>
            </w:pPr>
            <w:r>
              <w:rPr>
                <w:rFonts w:ascii="宋体" w:hAnsi="宋体" w:eastAsia="宋体"/>
                <w:sz w:val="16"/>
              </w:rPr>
              <w:t xml:space="preserve">本项目已完成采购防灾物资批次5批，自然灾害抢修维修维护期限12个月，因部分支出资料不齐全，资金未拨付；通过实施本项目将极大程度地方便居民出行，保障农村公路安全畅通，为加大推进农业农村现代化提供保障。 </w:t>
            </w:r>
          </w:p>
        </w:tc>
      </w:tr>
      <w:tr w14:paraId="29558C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AAC1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3CD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FF0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7AB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7E3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B2E6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24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79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0D3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23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AE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2C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E7339">
            <w:pPr>
              <w:jc w:val="center"/>
            </w:pPr>
            <w:r>
              <w:rPr>
                <w:rFonts w:ascii="宋体" w:hAnsi="宋体" w:eastAsia="宋体"/>
                <w:sz w:val="16"/>
              </w:rPr>
              <w:t>偏差原因分析及改进措施</w:t>
            </w:r>
          </w:p>
        </w:tc>
      </w:tr>
      <w:tr w14:paraId="1B082D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3569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D2A4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3FD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7AA1">
            <w:pPr>
              <w:jc w:val="center"/>
            </w:pPr>
            <w:r>
              <w:rPr>
                <w:rFonts w:ascii="宋体" w:hAnsi="宋体" w:eastAsia="宋体"/>
                <w:sz w:val="16"/>
              </w:rPr>
              <w:t>采购防灾物资批次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C49F">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10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3EA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117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1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94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89B7">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9A99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C3A6C">
            <w:pPr>
              <w:jc w:val="center"/>
            </w:pPr>
            <w:r>
              <w:rPr>
                <w:rFonts w:ascii="宋体" w:hAnsi="宋体" w:eastAsia="宋体"/>
                <w:sz w:val="16"/>
              </w:rPr>
              <w:t>原因：项目年初预算指标不够精准，导致指标存在偏差；措施：下一年度做好计划及项目管理，减少实施过程中的偏差</w:t>
            </w:r>
          </w:p>
        </w:tc>
      </w:tr>
      <w:tr w14:paraId="762EE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5AA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04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F2E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EB536">
            <w:pPr>
              <w:jc w:val="center"/>
            </w:pPr>
            <w:r>
              <w:rPr>
                <w:rFonts w:ascii="宋体" w:hAnsi="宋体" w:eastAsia="宋体"/>
                <w:sz w:val="16"/>
              </w:rPr>
              <w:t>自然灾害抢修维修维护期限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680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E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5B5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3E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4D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D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19F87">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6DC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91ED6">
            <w:pPr>
              <w:jc w:val="center"/>
            </w:pPr>
          </w:p>
        </w:tc>
      </w:tr>
      <w:tr w14:paraId="5FD51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1D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20D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E2DE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DB95">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9E9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1E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4BA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50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2B2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0CD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E5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CBFF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7C50F">
            <w:pPr>
              <w:jc w:val="center"/>
            </w:pPr>
          </w:p>
        </w:tc>
      </w:tr>
      <w:tr w14:paraId="31BDB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2D3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3F3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4F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F44F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5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9FF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47C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C3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1C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C32D">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7D1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A5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0F62">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52EEB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2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E4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98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96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7F8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9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35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23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C6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E1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39A0">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7F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ADA3B">
            <w:pPr>
              <w:jc w:val="center"/>
            </w:pPr>
          </w:p>
        </w:tc>
      </w:tr>
      <w:tr w14:paraId="4F3376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77A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AEF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6BE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53A5">
            <w:pPr>
              <w:jc w:val="center"/>
            </w:pPr>
            <w:r>
              <w:rPr>
                <w:rFonts w:ascii="宋体" w:hAnsi="宋体" w:eastAsia="宋体"/>
                <w:sz w:val="16"/>
              </w:rPr>
              <w:t>采购防灾物资成本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295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3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639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64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6F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A81C">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9E9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07EB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83F8">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FDE7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4C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AA5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B52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607D">
            <w:pPr>
              <w:jc w:val="center"/>
            </w:pPr>
            <w:r>
              <w:rPr>
                <w:rFonts w:ascii="宋体" w:hAnsi="宋体" w:eastAsia="宋体"/>
                <w:sz w:val="16"/>
              </w:rPr>
              <w:t>其他自然灾害抢修费用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DE8F">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1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D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27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8A3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97BD">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F23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847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7E4A1">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126DB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81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F8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6C6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124A1">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6C11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148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12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0E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74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E3C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67F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21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80B8">
            <w:pPr>
              <w:jc w:val="center"/>
            </w:pPr>
          </w:p>
        </w:tc>
      </w:tr>
      <w:tr w14:paraId="2F19C15A">
        <w:tblPrEx>
          <w:tblCellMar>
            <w:top w:w="0" w:type="dxa"/>
            <w:left w:w="108" w:type="dxa"/>
            <w:bottom w:w="0" w:type="dxa"/>
            <w:right w:w="108" w:type="dxa"/>
          </w:tblCellMar>
        </w:tblPrEx>
        <w:trPr>
          <w:trHeight w:val="852"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96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84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4D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93C3">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15B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21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AB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9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0B4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EF0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002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8E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39632">
            <w:pPr>
              <w:jc w:val="center"/>
            </w:pPr>
          </w:p>
        </w:tc>
      </w:tr>
      <w:tr w14:paraId="58FA84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A795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40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7EAB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BEDE">
            <w:pPr>
              <w:jc w:val="center"/>
            </w:pPr>
            <w:r>
              <w:rPr>
                <w:rFonts w:ascii="宋体" w:hAnsi="宋体" w:eastAsia="宋体"/>
                <w:sz w:val="16"/>
              </w:rPr>
              <w:t>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E50C1B"/>
        </w:tc>
      </w:tr>
    </w:tbl>
    <w:p w14:paraId="0BD92F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BFE9DE9">
        <w:tblPrEx>
          <w:tblCellMar>
            <w:top w:w="0" w:type="dxa"/>
            <w:left w:w="108" w:type="dxa"/>
            <w:bottom w:w="0" w:type="dxa"/>
            <w:right w:w="108" w:type="dxa"/>
          </w:tblCellMar>
        </w:tblPrEx>
        <w:tc>
          <w:tcPr>
            <w:tcW w:w="8848" w:type="dxa"/>
            <w:gridSpan w:val="14"/>
            <w:vAlign w:val="center"/>
          </w:tcPr>
          <w:p w14:paraId="26ED2F10">
            <w:pPr>
              <w:jc w:val="center"/>
            </w:pPr>
            <w:r>
              <w:rPr>
                <w:rFonts w:ascii="宋体" w:hAnsi="宋体" w:eastAsia="宋体"/>
                <w:sz w:val="24"/>
              </w:rPr>
              <w:t>项目支出绩效自评表</w:t>
            </w:r>
          </w:p>
        </w:tc>
      </w:tr>
      <w:tr w14:paraId="71A3D072">
        <w:tblPrEx>
          <w:tblCellMar>
            <w:top w:w="0" w:type="dxa"/>
            <w:left w:w="108" w:type="dxa"/>
            <w:bottom w:w="0" w:type="dxa"/>
            <w:right w:w="108" w:type="dxa"/>
          </w:tblCellMar>
        </w:tblPrEx>
        <w:tc>
          <w:tcPr>
            <w:tcW w:w="8848" w:type="dxa"/>
            <w:gridSpan w:val="14"/>
            <w:vAlign w:val="center"/>
          </w:tcPr>
          <w:p w14:paraId="02FB4E36">
            <w:pPr>
              <w:jc w:val="center"/>
            </w:pPr>
            <w:r>
              <w:rPr>
                <w:rFonts w:ascii="宋体" w:hAnsi="宋体" w:eastAsia="宋体"/>
                <w:sz w:val="24"/>
              </w:rPr>
              <w:t>(2024年度)</w:t>
            </w:r>
          </w:p>
        </w:tc>
      </w:tr>
      <w:tr w14:paraId="2F6C29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80D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FB08D8">
            <w:pPr>
              <w:jc w:val="center"/>
            </w:pPr>
            <w:r>
              <w:rPr>
                <w:rFonts w:ascii="宋体" w:hAnsi="宋体" w:eastAsia="宋体"/>
                <w:sz w:val="16"/>
              </w:rPr>
              <w:t>阿图什市辖区1923公里等级农村公路技术状况检测评定及114座桥梁评定项目</w:t>
            </w:r>
          </w:p>
        </w:tc>
      </w:tr>
      <w:tr w14:paraId="1E761B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4F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22E1ED">
            <w:pPr>
              <w:jc w:val="center"/>
            </w:pPr>
            <w:r>
              <w:rPr>
                <w:rFonts w:ascii="宋体" w:hAnsi="宋体" w:eastAsia="宋体"/>
                <w:sz w:val="16"/>
              </w:rPr>
              <w:t>阿图什市交通运输局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35C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D8F2AB">
            <w:pPr>
              <w:jc w:val="center"/>
            </w:pPr>
            <w:r>
              <w:rPr>
                <w:rFonts w:ascii="宋体" w:hAnsi="宋体" w:eastAsia="宋体"/>
                <w:sz w:val="16"/>
              </w:rPr>
              <w:t>阿图什市交通运输局</w:t>
            </w:r>
          </w:p>
        </w:tc>
      </w:tr>
      <w:tr w14:paraId="28B6C0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637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78C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6FF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284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A1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287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C5D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E419">
            <w:pPr>
              <w:jc w:val="center"/>
            </w:pPr>
            <w:r>
              <w:rPr>
                <w:rFonts w:ascii="宋体" w:hAnsi="宋体" w:eastAsia="宋体"/>
                <w:sz w:val="16"/>
              </w:rPr>
              <w:t>得分</w:t>
            </w:r>
          </w:p>
        </w:tc>
      </w:tr>
      <w:tr w14:paraId="2B3B4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9A6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7A0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E2087">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CA23E">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2BC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11D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D728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E13C">
            <w:pPr>
              <w:jc w:val="center"/>
            </w:pPr>
            <w:r>
              <w:rPr>
                <w:rFonts w:ascii="宋体" w:hAnsi="宋体" w:eastAsia="宋体"/>
                <w:sz w:val="16"/>
              </w:rPr>
              <w:t>0.00分</w:t>
            </w:r>
          </w:p>
        </w:tc>
      </w:tr>
      <w:tr w14:paraId="462DA3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2AC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3B5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ED3D9">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A6791">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39A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0E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FD9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3762">
            <w:pPr>
              <w:jc w:val="center"/>
            </w:pPr>
            <w:r>
              <w:rPr>
                <w:rFonts w:ascii="宋体" w:hAnsi="宋体" w:eastAsia="宋体"/>
                <w:sz w:val="16"/>
              </w:rPr>
              <w:t>—</w:t>
            </w:r>
          </w:p>
        </w:tc>
      </w:tr>
      <w:tr w14:paraId="6ADE6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9DF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ED6C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365E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BCC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CBB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BEA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98E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A5EB">
            <w:pPr>
              <w:jc w:val="center"/>
            </w:pPr>
            <w:r>
              <w:rPr>
                <w:rFonts w:ascii="宋体" w:hAnsi="宋体" w:eastAsia="宋体"/>
                <w:sz w:val="16"/>
              </w:rPr>
              <w:t>—</w:t>
            </w:r>
          </w:p>
        </w:tc>
      </w:tr>
      <w:tr w14:paraId="1D2DE2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F68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9E83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E5785E">
            <w:pPr>
              <w:jc w:val="center"/>
            </w:pPr>
            <w:r>
              <w:rPr>
                <w:rFonts w:ascii="宋体" w:hAnsi="宋体" w:eastAsia="宋体"/>
                <w:sz w:val="16"/>
              </w:rPr>
              <w:t>实际完成情况</w:t>
            </w:r>
          </w:p>
        </w:tc>
      </w:tr>
      <w:tr w14:paraId="6DAAA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6AB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863E6">
            <w:pPr>
              <w:jc w:val="both"/>
            </w:pPr>
            <w:r>
              <w:rPr>
                <w:rFonts w:ascii="宋体" w:hAnsi="宋体" w:eastAsia="宋体"/>
                <w:sz w:val="16"/>
              </w:rPr>
              <w:t>项目资金90万元，对全市1923公里进行等级农村公路全自动化路况技术评定，聘请评定服务公司1家。项目实施后将极大程度地方便居民出行，保障农村公路安全畅通，为</w:t>
            </w:r>
            <w:r>
              <w:rPr>
                <w:rFonts w:hint="eastAsia" w:ascii="宋体" w:hAnsi="宋体"/>
                <w:sz w:val="16"/>
                <w:lang w:eastAsia="zh-CN"/>
              </w:rPr>
              <w:t>加快</w:t>
            </w:r>
            <w:r>
              <w:rPr>
                <w:rFonts w:ascii="宋体" w:hAnsi="宋体" w:eastAsia="宋体"/>
                <w:sz w:val="16"/>
              </w:rPr>
              <w:t xml:space="preserve">推进农业农村现代化提供保障。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86B08B">
            <w:pPr>
              <w:jc w:val="both"/>
            </w:pPr>
            <w:r>
              <w:rPr>
                <w:rFonts w:ascii="宋体" w:hAnsi="宋体" w:eastAsia="宋体"/>
                <w:sz w:val="16"/>
              </w:rPr>
              <w:t>本项目已完成农村公路全自动</w:t>
            </w:r>
            <w:r>
              <w:rPr>
                <w:rFonts w:hint="eastAsia" w:ascii="宋体" w:hAnsi="宋体"/>
                <w:sz w:val="16"/>
                <w:lang w:eastAsia="zh-CN"/>
              </w:rPr>
              <w:t>化公</w:t>
            </w:r>
            <w:r>
              <w:rPr>
                <w:rFonts w:ascii="宋体" w:hAnsi="宋体" w:eastAsia="宋体"/>
                <w:sz w:val="16"/>
              </w:rPr>
              <w:t xml:space="preserve">路长度1923公里，聘请评定服务公司数量1家，因部分支出资料不齐全，资金未拨付；通过实施本项目将极大程度地方便居民出行，保障农村公路安全畅通，为加大推进农业农村现代化提供保障。 </w:t>
            </w:r>
          </w:p>
        </w:tc>
      </w:tr>
      <w:tr w14:paraId="0F4B34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15D82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7D56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81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37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56C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FF34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38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38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E570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550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07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9B42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26436">
            <w:pPr>
              <w:jc w:val="center"/>
            </w:pPr>
            <w:r>
              <w:rPr>
                <w:rFonts w:ascii="宋体" w:hAnsi="宋体" w:eastAsia="宋体"/>
                <w:sz w:val="16"/>
              </w:rPr>
              <w:t>偏差原因分析及改进措施</w:t>
            </w:r>
          </w:p>
        </w:tc>
      </w:tr>
      <w:tr w14:paraId="33131F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AE6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F8E2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01FD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CE0B">
            <w:pPr>
              <w:jc w:val="center"/>
            </w:pPr>
            <w:r>
              <w:rPr>
                <w:rFonts w:ascii="宋体" w:hAnsi="宋体" w:eastAsia="宋体"/>
                <w:sz w:val="16"/>
              </w:rPr>
              <w:t>农村公路全自动化路长度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0261">
            <w:pPr>
              <w:jc w:val="center"/>
            </w:pPr>
            <w:r>
              <w:rPr>
                <w:rFonts w:ascii="宋体" w:hAnsi="宋体" w:eastAsia="宋体"/>
                <w:sz w:val="16"/>
              </w:rPr>
              <w:t>&gt;=1923公里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40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15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39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679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DF7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5BEE">
            <w:pPr>
              <w:jc w:val="center"/>
            </w:pPr>
            <w:r>
              <w:rPr>
                <w:rFonts w:ascii="宋体" w:hAnsi="宋体" w:eastAsia="宋体"/>
                <w:sz w:val="16"/>
              </w:rPr>
              <w:t>=1923公里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3E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98263">
            <w:pPr>
              <w:jc w:val="center"/>
            </w:pPr>
            <w:r>
              <w:rPr>
                <w:rFonts w:ascii="宋体" w:hAnsi="宋体" w:eastAsia="宋体"/>
                <w:sz w:val="16"/>
              </w:rPr>
              <w:t>原因：资金短缺，未能支付检测评定费用，因此未执行；措施：今后做好项目计划，减少偏差。</w:t>
            </w:r>
          </w:p>
        </w:tc>
      </w:tr>
      <w:tr w14:paraId="6A6CB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53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A7C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C4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0CB82">
            <w:pPr>
              <w:jc w:val="center"/>
            </w:pPr>
            <w:r>
              <w:rPr>
                <w:rFonts w:ascii="宋体" w:hAnsi="宋体" w:eastAsia="宋体"/>
                <w:sz w:val="16"/>
              </w:rPr>
              <w:t>聘请评定服务公司数量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701E">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FE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73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12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0D3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C12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B83A">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1A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97A5">
            <w:pPr>
              <w:jc w:val="center"/>
            </w:pPr>
            <w:r>
              <w:rPr>
                <w:rFonts w:ascii="宋体" w:hAnsi="宋体" w:eastAsia="宋体"/>
                <w:sz w:val="16"/>
              </w:rPr>
              <w:t>原因：资金短缺，未能支付检测评定费用，因此未执行；措施：今后做好项目计划，减少偏差。</w:t>
            </w:r>
          </w:p>
        </w:tc>
      </w:tr>
      <w:tr w14:paraId="29CB2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A3A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4B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4CC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A044">
            <w:pPr>
              <w:jc w:val="center"/>
            </w:pPr>
            <w:r>
              <w:rPr>
                <w:rFonts w:ascii="宋体" w:hAnsi="宋体" w:eastAsia="宋体"/>
                <w:sz w:val="16"/>
              </w:rPr>
              <w:t>路况评定技术合格率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4E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F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324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C1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99F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CE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D3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BF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BC7B1">
            <w:pPr>
              <w:jc w:val="center"/>
            </w:pPr>
            <w:r>
              <w:rPr>
                <w:rFonts w:ascii="宋体" w:hAnsi="宋体" w:eastAsia="宋体"/>
                <w:sz w:val="16"/>
              </w:rPr>
              <w:t>原因：资金短缺，未能支付检测评定费用，因此未执行；措施：今后做好项目计划，减少偏差。</w:t>
            </w:r>
          </w:p>
        </w:tc>
      </w:tr>
      <w:tr w14:paraId="2BCA2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F52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D9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4E4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CE19">
            <w:pPr>
              <w:jc w:val="center"/>
            </w:pPr>
            <w:r>
              <w:rPr>
                <w:rFonts w:ascii="宋体" w:hAnsi="宋体" w:eastAsia="宋体"/>
                <w:sz w:val="16"/>
              </w:rPr>
              <w:t>委托任务按时完成率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E5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4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05A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A7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A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1B20">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03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02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EC393">
            <w:pPr>
              <w:jc w:val="center"/>
            </w:pPr>
            <w:r>
              <w:rPr>
                <w:rFonts w:ascii="宋体" w:hAnsi="宋体" w:eastAsia="宋体"/>
                <w:sz w:val="16"/>
              </w:rPr>
              <w:t>原因：资金短缺，未能支付检测评定费用，因此未执行；措施：今后做好项目计划，减少偏差。</w:t>
            </w:r>
          </w:p>
        </w:tc>
      </w:tr>
      <w:tr w14:paraId="0BF92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CCE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870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84B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67DA4">
            <w:pPr>
              <w:jc w:val="center"/>
            </w:pPr>
            <w:r>
              <w:rPr>
                <w:rFonts w:ascii="宋体" w:hAnsi="宋体" w:eastAsia="宋体"/>
                <w:sz w:val="16"/>
              </w:rPr>
              <w:t>项目预算成本控制率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1065">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5C4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0E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0A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78A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EBC8">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A43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2D5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E2CC6">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14:paraId="4BB45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A5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70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88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FDC6C">
            <w:pPr>
              <w:jc w:val="center"/>
            </w:pPr>
            <w:r>
              <w:rPr>
                <w:rFonts w:ascii="宋体" w:hAnsi="宋体" w:eastAsia="宋体"/>
                <w:sz w:val="16"/>
              </w:rPr>
              <w:t>保障农村公路安全畅通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15FB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45B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AC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560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B02A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D812">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F59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2CC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A49FF">
            <w:pPr>
              <w:jc w:val="center"/>
            </w:pPr>
            <w:r>
              <w:rPr>
                <w:rFonts w:ascii="宋体" w:hAnsi="宋体" w:eastAsia="宋体"/>
                <w:sz w:val="16"/>
              </w:rPr>
              <w:t>原因：资金短缺，未能支付检测评定费用，因此未执行；措施：今后做好项目计划，减少偏差。</w:t>
            </w:r>
          </w:p>
        </w:tc>
      </w:tr>
      <w:tr w14:paraId="3ECC9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44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BB7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F16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A9C2">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385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36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B0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D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BB15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8F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3A02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C2D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787B8">
            <w:pPr>
              <w:jc w:val="center"/>
            </w:pPr>
            <w:r>
              <w:rPr>
                <w:rFonts w:ascii="宋体" w:hAnsi="宋体" w:eastAsia="宋体"/>
                <w:sz w:val="16"/>
              </w:rPr>
              <w:t>原因：资金短缺，未能支付检测评定费用，因此未执行；措施：今后做好项目计划，减少偏差。</w:t>
            </w:r>
          </w:p>
        </w:tc>
      </w:tr>
      <w:tr w14:paraId="0666FD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8A7BB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E1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E5F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AD5B">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F32211"/>
        </w:tc>
      </w:tr>
    </w:tbl>
    <w:p w14:paraId="07B80803">
      <w:r>
        <w:br w:type="page"/>
      </w:r>
    </w:p>
    <w:p w14:paraId="677122D1">
      <w:pPr>
        <w:spacing w:line="640" w:lineRule="exact"/>
        <w:ind w:firstLine="640"/>
        <w:jc w:val="both"/>
        <w:outlineLvl w:val="2"/>
      </w:pPr>
      <w:r>
        <w:rPr>
          <w:rFonts w:ascii="黑体" w:hAnsi="黑体" w:eastAsia="黑体"/>
          <w:sz w:val="32"/>
        </w:rPr>
        <w:t>十二、其他需说明的事项</w:t>
      </w:r>
    </w:p>
    <w:p w14:paraId="6B6C87F7">
      <w:pPr>
        <w:spacing w:line="580" w:lineRule="exact"/>
        <w:ind w:firstLine="640"/>
        <w:jc w:val="both"/>
      </w:pPr>
      <w:r>
        <w:rPr>
          <w:rFonts w:ascii="仿宋_GB2312" w:hAnsi="仿宋_GB2312" w:eastAsia="仿宋_GB2312"/>
          <w:b w:val="0"/>
          <w:sz w:val="32"/>
        </w:rPr>
        <w:t>本单位无其他需说明的事项。</w:t>
      </w:r>
    </w:p>
    <w:p w14:paraId="25863131">
      <w:r>
        <w:br w:type="page"/>
      </w:r>
    </w:p>
    <w:p w14:paraId="1023DCFA">
      <w:pPr>
        <w:spacing w:line="240" w:lineRule="auto"/>
        <w:jc w:val="center"/>
        <w:outlineLvl w:val="1"/>
      </w:pPr>
      <w:r>
        <w:rPr>
          <w:rFonts w:ascii="黑体" w:hAnsi="黑体" w:eastAsia="黑体"/>
          <w:sz w:val="32"/>
        </w:rPr>
        <w:t>第三部分 专业名词解释</w:t>
      </w:r>
    </w:p>
    <w:p w14:paraId="590C67F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4D227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25B1C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CF4F6B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168D4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1E9116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7F2C5A6">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9DEAE0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235A7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DF6F2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F8F6C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1FC8B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357A7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A81B65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FE4625">
      <w:r>
        <w:br w:type="page"/>
      </w:r>
    </w:p>
    <w:p w14:paraId="0C9C3E63">
      <w:pPr>
        <w:spacing w:line="240" w:lineRule="auto"/>
        <w:jc w:val="center"/>
        <w:outlineLvl w:val="1"/>
      </w:pPr>
      <w:r>
        <w:rPr>
          <w:rFonts w:ascii="黑体" w:hAnsi="黑体" w:eastAsia="黑体"/>
          <w:sz w:val="32"/>
        </w:rPr>
        <w:t>第四部分 部门决算报表（见附表）</w:t>
      </w:r>
    </w:p>
    <w:p w14:paraId="6B647643">
      <w:pPr>
        <w:spacing w:line="240" w:lineRule="auto"/>
        <w:ind w:firstLine="640"/>
        <w:jc w:val="both"/>
      </w:pPr>
      <w:r>
        <w:rPr>
          <w:rFonts w:ascii="仿宋_GB2312" w:hAnsi="仿宋_GB2312" w:eastAsia="仿宋_GB2312"/>
          <w:b w:val="0"/>
          <w:sz w:val="32"/>
        </w:rPr>
        <w:t>一、《收入支出决算总表》</w:t>
      </w:r>
    </w:p>
    <w:p w14:paraId="0E323FC5">
      <w:pPr>
        <w:spacing w:line="240" w:lineRule="auto"/>
        <w:ind w:firstLine="640"/>
        <w:jc w:val="both"/>
      </w:pPr>
      <w:r>
        <w:rPr>
          <w:rFonts w:ascii="仿宋_GB2312" w:hAnsi="仿宋_GB2312" w:eastAsia="仿宋_GB2312"/>
          <w:b w:val="0"/>
          <w:sz w:val="32"/>
        </w:rPr>
        <w:t>二、《收入决算表》</w:t>
      </w:r>
    </w:p>
    <w:p w14:paraId="535C51AA">
      <w:pPr>
        <w:spacing w:line="240" w:lineRule="auto"/>
        <w:ind w:firstLine="640"/>
        <w:jc w:val="both"/>
      </w:pPr>
      <w:r>
        <w:rPr>
          <w:rFonts w:ascii="仿宋_GB2312" w:hAnsi="仿宋_GB2312" w:eastAsia="仿宋_GB2312"/>
          <w:b w:val="0"/>
          <w:sz w:val="32"/>
        </w:rPr>
        <w:t>三、《支出决算表》</w:t>
      </w:r>
    </w:p>
    <w:p w14:paraId="0CE7BD36">
      <w:pPr>
        <w:spacing w:line="240" w:lineRule="auto"/>
        <w:ind w:firstLine="640"/>
        <w:jc w:val="both"/>
      </w:pPr>
      <w:r>
        <w:rPr>
          <w:rFonts w:ascii="仿宋_GB2312" w:hAnsi="仿宋_GB2312" w:eastAsia="仿宋_GB2312"/>
          <w:b w:val="0"/>
          <w:sz w:val="32"/>
        </w:rPr>
        <w:t>四、《财政拨款收入支出决算总表》</w:t>
      </w:r>
    </w:p>
    <w:p w14:paraId="4266A2EB">
      <w:pPr>
        <w:spacing w:line="240" w:lineRule="auto"/>
        <w:ind w:firstLine="640"/>
        <w:jc w:val="both"/>
      </w:pPr>
      <w:r>
        <w:rPr>
          <w:rFonts w:ascii="仿宋_GB2312" w:hAnsi="仿宋_GB2312" w:eastAsia="仿宋_GB2312"/>
          <w:b w:val="0"/>
          <w:sz w:val="32"/>
        </w:rPr>
        <w:t>五、《一般公共预算财政拨款支出决算表》</w:t>
      </w:r>
    </w:p>
    <w:p w14:paraId="626C2F06">
      <w:pPr>
        <w:spacing w:line="240" w:lineRule="auto"/>
        <w:ind w:firstLine="640"/>
        <w:jc w:val="both"/>
      </w:pPr>
      <w:r>
        <w:rPr>
          <w:rFonts w:ascii="仿宋_GB2312" w:hAnsi="仿宋_GB2312" w:eastAsia="仿宋_GB2312"/>
          <w:b w:val="0"/>
          <w:sz w:val="32"/>
        </w:rPr>
        <w:t>六、《一般公共预算财政拨款基本支出决算表》</w:t>
      </w:r>
    </w:p>
    <w:p w14:paraId="65520B34">
      <w:pPr>
        <w:spacing w:line="240" w:lineRule="auto"/>
        <w:ind w:firstLine="640"/>
        <w:jc w:val="both"/>
      </w:pPr>
      <w:r>
        <w:rPr>
          <w:rFonts w:ascii="仿宋_GB2312" w:hAnsi="仿宋_GB2312" w:eastAsia="仿宋_GB2312"/>
          <w:b w:val="0"/>
          <w:sz w:val="32"/>
        </w:rPr>
        <w:t>七、《政府性基金预算财政拨款收入支出决算表》</w:t>
      </w:r>
    </w:p>
    <w:p w14:paraId="67869100">
      <w:pPr>
        <w:spacing w:line="240" w:lineRule="auto"/>
        <w:ind w:firstLine="640"/>
        <w:jc w:val="both"/>
      </w:pPr>
      <w:r>
        <w:rPr>
          <w:rFonts w:ascii="仿宋_GB2312" w:hAnsi="仿宋_GB2312" w:eastAsia="仿宋_GB2312"/>
          <w:b w:val="0"/>
          <w:sz w:val="32"/>
        </w:rPr>
        <w:t>八、《国有资本经营预算财政拨款收入支出决算表》</w:t>
      </w:r>
    </w:p>
    <w:p w14:paraId="59363678">
      <w:pPr>
        <w:spacing w:line="240" w:lineRule="auto"/>
        <w:ind w:firstLine="640"/>
        <w:jc w:val="both"/>
      </w:pPr>
      <w:r>
        <w:rPr>
          <w:rFonts w:ascii="仿宋_GB2312" w:hAnsi="仿宋_GB2312" w:eastAsia="仿宋_GB2312"/>
          <w:b w:val="0"/>
          <w:sz w:val="32"/>
        </w:rPr>
        <w:t>九、《财政拨款“三公”经费支出决算表》</w:t>
      </w:r>
    </w:p>
    <w:p w14:paraId="2C662F70">
      <w:pPr>
        <w:spacing w:line="240" w:lineRule="auto"/>
        <w:ind w:firstLine="640"/>
        <w:jc w:val="both"/>
      </w:pPr>
    </w:p>
    <w:p w14:paraId="786B263E">
      <w:pPr>
        <w:spacing w:line="240" w:lineRule="auto"/>
        <w:ind w:firstLine="640"/>
        <w:jc w:val="both"/>
      </w:pPr>
    </w:p>
    <w:p w14:paraId="5FFD648A">
      <w:pPr>
        <w:spacing w:line="240" w:lineRule="auto"/>
        <w:ind w:firstLine="640"/>
        <w:jc w:val="both"/>
      </w:pPr>
    </w:p>
    <w:p w14:paraId="4811E6A9">
      <w:pPr>
        <w:spacing w:line="240" w:lineRule="auto"/>
        <w:ind w:firstLine="640"/>
        <w:jc w:val="both"/>
      </w:pPr>
    </w:p>
    <w:p w14:paraId="50F7EEC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F49D1A-6E56-4C3C-BD93-786B91B2C0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4CFC6BC-D5F8-4A8D-A937-682F417B6A47}"/>
  </w:font>
  <w:font w:name="仿宋_GB2312">
    <w:panose1 w:val="02010609030101010101"/>
    <w:charset w:val="86"/>
    <w:family w:val="modern"/>
    <w:pitch w:val="default"/>
    <w:sig w:usb0="00000001" w:usb1="080E0000" w:usb2="00000000" w:usb3="00000000" w:csb0="00040000" w:csb1="00000000"/>
    <w:embedRegular r:id="rId3" w:fontKey="{08BFA5D3-5514-4E92-BC58-6AA40EB768A8}"/>
  </w:font>
  <w:font w:name="楷体_GB2312">
    <w:altName w:val="楷体"/>
    <w:panose1 w:val="00000000000000000000"/>
    <w:charset w:val="00"/>
    <w:family w:val="auto"/>
    <w:pitch w:val="default"/>
    <w:sig w:usb0="00000000" w:usb1="00000000" w:usb2="00000000" w:usb3="00000000" w:csb0="00000000" w:csb1="00000000"/>
    <w:embedRegular r:id="rId4" w:fontKey="{A7DE44C6-55F6-4854-8D09-2BE93FF0E57C}"/>
  </w:font>
  <w:font w:name="楷体">
    <w:panose1 w:val="02010609060101010101"/>
    <w:charset w:val="86"/>
    <w:family w:val="auto"/>
    <w:pitch w:val="default"/>
    <w:sig w:usb0="800002BF" w:usb1="38CF7CFA" w:usb2="00000016" w:usb3="00000000" w:csb0="00040001" w:csb1="00000000"/>
  </w:font>
  <w:font w:name="WPSEMBED5">
    <w:panose1 w:val="02000000000000000000"/>
    <w:charset w:val="86"/>
    <w:family w:val="auto"/>
    <w:pitch w:val="default"/>
    <w:sig w:usb0="A00002BF" w:usb1="38CF7CFA" w:usb2="00082016" w:usb3="00000000" w:csb0="00040001" w:csb1="00000000"/>
  </w:font>
  <w:font w:name="WPSEMBED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3585C9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677758"/>
    <w:rsid w:val="1DAF458D"/>
    <w:rsid w:val="1E086ACE"/>
    <w:rsid w:val="1E4B5CA5"/>
    <w:rsid w:val="1EAA4A5F"/>
    <w:rsid w:val="1F587A0B"/>
    <w:rsid w:val="2064678E"/>
    <w:rsid w:val="20BC0B75"/>
    <w:rsid w:val="20DD6197"/>
    <w:rsid w:val="21F317F2"/>
    <w:rsid w:val="2241392C"/>
    <w:rsid w:val="23BC04D2"/>
    <w:rsid w:val="25275618"/>
    <w:rsid w:val="266A4E9F"/>
    <w:rsid w:val="27CE017C"/>
    <w:rsid w:val="27CF2642"/>
    <w:rsid w:val="282459E2"/>
    <w:rsid w:val="29116777"/>
    <w:rsid w:val="29456E41"/>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420B44"/>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8645</Words>
  <Characters>10115</Characters>
  <Lines>0</Lines>
  <Paragraphs>0</Paragraphs>
  <TotalTime>12</TotalTime>
  <ScaleCrop>false</ScaleCrop>
  <LinksUpToDate>false</LinksUpToDate>
  <CharactersWithSpaces>10126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2025-09-08T09:00:03Z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