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阿图什市交通运输局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贯彻执行国家有关公路交通运输行业的方针、政策、法规，拟订阿图什市相关交通运输政策并组织实施和监督检查。</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拟订阿图什市公路交通运输发展规划、中长期计划并监督实施</w:t>
      </w:r>
      <w:r>
        <w:rPr>
          <w:rFonts w:hint="eastAsia" w:ascii="仿宋_GB2312" w:hAnsi="仿宋_GB2312" w:eastAsia="仿宋_GB2312"/>
          <w:sz w:val="32"/>
          <w:lang w:eastAsia="zh-CN"/>
        </w:rPr>
        <w:t>；</w:t>
      </w:r>
      <w:r>
        <w:rPr>
          <w:rFonts w:ascii="仿宋_GB2312" w:hAnsi="仿宋_GB2312" w:eastAsia="仿宋_GB2312"/>
          <w:sz w:val="32"/>
        </w:rPr>
        <w:t>会同有关部门组织编制阿图什市综合运输体系规划。</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指导管理城乡客运及有关设施规划和管理工作，负责城市出租汽车、公交车行业管理工作</w:t>
      </w:r>
      <w:r>
        <w:rPr>
          <w:rFonts w:hint="eastAsia" w:ascii="仿宋_GB2312" w:hAnsi="仿宋_GB2312" w:eastAsia="仿宋_GB2312"/>
          <w:sz w:val="32"/>
          <w:lang w:eastAsia="zh-CN"/>
        </w:rPr>
        <w:t>；</w:t>
      </w:r>
      <w:r>
        <w:rPr>
          <w:rFonts w:ascii="仿宋_GB2312" w:hAnsi="仿宋_GB2312" w:eastAsia="仿宋_GB2312"/>
          <w:sz w:val="32"/>
        </w:rPr>
        <w:t>按照有关法规规定，负责审批全市城市出租车公交车辆、经营资格，核定经营范围和经营路线，对营运证照、经营范围、经营行为、服务质量及运输安全进行监督检查。受理投诉，查处违章行为和重大质量事故，维护城市交通运输市场秩序。</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负责提出阿图什市农村公路固定资产投资规模和方向、财政性资金安排意见。拟订公路有关规费政策并监督实施，会同有关部门制定交通运输行业价格，对涉及财政、土地、价格等方面的问题提出政策建议。</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承担阿图什市公路建设市场监管责任。拟订阿图什市公路工程建设相关政策、制度和技术标准并监督实施。组织协调公路有关重点工程建设和工程质量、安全生产监督管理及有关人员资质管理工作，指导交通运输基础设施管理和维护，承担有关重要设施的管理和维护。负责管辖范围内县道、乡道、村道的建设、养护和管理，负责农村公路路政综合管理依法保护公路路产路权。</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指导阿图什市交通运输行业体制改革</w:t>
      </w:r>
      <w:r>
        <w:rPr>
          <w:rFonts w:hint="eastAsia" w:ascii="仿宋_GB2312" w:hAnsi="仿宋_GB2312" w:eastAsia="仿宋_GB2312"/>
          <w:sz w:val="32"/>
          <w:lang w:eastAsia="zh-CN"/>
        </w:rPr>
        <w:t>；</w:t>
      </w:r>
      <w:r>
        <w:rPr>
          <w:rFonts w:ascii="仿宋_GB2312" w:hAnsi="仿宋_GB2312" w:eastAsia="仿宋_GB2312"/>
          <w:sz w:val="32"/>
        </w:rPr>
        <w:t>会同有关部门培育和管理交通运输市场和交通基础设施建设市场，维护阿图什市交通运输行业的平等竞争秩序。</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指导交通运输行业安全生产和应急管理工作。按规定组织协调阿图什市重点物资和紧急客货运输，协调阿图什市高等级公路及重点干线路建设，承担交通战备工作。</w:t>
      </w:r>
    </w:p>
    <w:p>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贯彻执行交通行业科技政策、技术标准和规范</w:t>
      </w:r>
      <w:r>
        <w:rPr>
          <w:rFonts w:hint="eastAsia" w:ascii="仿宋_GB2312" w:hAnsi="仿宋_GB2312" w:eastAsia="仿宋_GB2312"/>
          <w:sz w:val="32"/>
          <w:lang w:eastAsia="zh-CN"/>
        </w:rPr>
        <w:t>；</w:t>
      </w:r>
      <w:r>
        <w:rPr>
          <w:rFonts w:ascii="仿宋_GB2312" w:hAnsi="仿宋_GB2312" w:eastAsia="仿宋_GB2312"/>
          <w:sz w:val="32"/>
        </w:rPr>
        <w:t>引导交通运输行业优化结构、协调发展。指导交通运输信息化建设，监测分析运行情况开展相关统计工作，发布有关信息</w:t>
      </w:r>
      <w:r>
        <w:rPr>
          <w:rFonts w:hint="eastAsia" w:ascii="仿宋_GB2312" w:hAnsi="仿宋_GB2312" w:eastAsia="仿宋_GB2312"/>
          <w:sz w:val="32"/>
          <w:lang w:eastAsia="zh-CN"/>
        </w:rPr>
        <w:t>；</w:t>
      </w:r>
      <w:r>
        <w:rPr>
          <w:rFonts w:ascii="仿宋_GB2312" w:hAnsi="仿宋_GB2312" w:eastAsia="仿宋_GB2312"/>
          <w:sz w:val="32"/>
        </w:rPr>
        <w:t>指导阿图什市交通运输行业环境保护和节能减排工作。</w:t>
      </w:r>
    </w:p>
    <w:p>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指导交通运输行业的法治宣传、行政复议、行政应诉、行政执法和监督工作</w:t>
      </w:r>
      <w:r>
        <w:rPr>
          <w:rFonts w:hint="eastAsia" w:ascii="仿宋_GB2312" w:hAnsi="仿宋_GB2312" w:eastAsia="仿宋_GB2312"/>
          <w:sz w:val="32"/>
          <w:lang w:eastAsia="zh-CN"/>
        </w:rPr>
        <w:t>；</w:t>
      </w:r>
      <w:r>
        <w:rPr>
          <w:rFonts w:ascii="仿宋_GB2312" w:hAnsi="仿宋_GB2312" w:eastAsia="仿宋_GB2312"/>
          <w:sz w:val="32"/>
        </w:rPr>
        <w:t>指导交通行业职业教育和培训工作。</w:t>
      </w:r>
    </w:p>
    <w:p>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承办阿图什市人民政府交办的其他工作。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阿图什市交通运输局2024年度，实有人数39人，其中：在职人员29人，增加1人；离休人员0人，增加0人；退休人员10人</w:t>
      </w:r>
      <w:r>
        <w:rPr>
          <w:rFonts w:hint="eastAsia" w:ascii="仿宋_GB2312" w:hAnsi="仿宋_GB2312" w:eastAsia="仿宋_GB2312"/>
          <w:sz w:val="32"/>
          <w:lang w:eastAsia="zh-CN"/>
        </w:rPr>
        <w:t>，</w:t>
      </w:r>
      <w:r>
        <w:rPr>
          <w:rFonts w:ascii="仿宋_GB2312" w:hAnsi="仿宋_GB2312" w:eastAsia="仿宋_GB2312"/>
          <w:sz w:val="32"/>
        </w:rPr>
        <w:t>增加1人。</w:t>
      </w:r>
    </w:p>
    <w:p>
      <w:pPr>
        <w:spacing w:line="580" w:lineRule="exact"/>
        <w:ind w:firstLine="640"/>
        <w:jc w:val="both"/>
      </w:pPr>
      <w:r>
        <w:rPr>
          <w:rFonts w:ascii="仿宋_GB2312" w:hAnsi="仿宋_GB2312" w:eastAsia="仿宋_GB2312"/>
          <w:sz w:val="32"/>
        </w:rPr>
        <w:t>阿图什市交通运输局无下属预算单位，下设4个科室，分别是：办公室、行政执法大队、财务室、综合业务室。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2024年度收入总计16,682.38万元，</w:t>
      </w:r>
      <w:r>
        <w:rPr>
          <w:rFonts w:ascii="仿宋_GB2312" w:hAnsi="仿宋_GB2312" w:eastAsia="仿宋_GB2312"/>
          <w:b w:val="0"/>
          <w:sz w:val="32"/>
        </w:rPr>
        <w:t>其中：本年收入合计16,188.43万元，使用非财政拨款结余（含专用结余）0.00万元，年初结转和结余493.95万元。</w:t>
      </w:r>
    </w:p>
    <w:p>
      <w:pPr>
        <w:spacing w:line="580" w:lineRule="exact"/>
        <w:ind w:firstLine="640"/>
        <w:jc w:val="both"/>
      </w:pPr>
      <w:r>
        <w:rPr>
          <w:rFonts w:ascii="仿宋_GB2312" w:hAnsi="仿宋_GB2312" w:eastAsia="仿宋_GB2312"/>
          <w:b/>
          <w:sz w:val="32"/>
        </w:rPr>
        <w:t>2024年度支出总计16,682.38万元，</w:t>
      </w:r>
      <w:r>
        <w:rPr>
          <w:rFonts w:ascii="仿宋_GB2312" w:hAnsi="仿宋_GB2312" w:eastAsia="仿宋_GB2312"/>
          <w:b w:val="0"/>
          <w:sz w:val="32"/>
        </w:rPr>
        <w:t>其中：本年支出合计16,607.24万元，结余分配0.00万元，年末结转和结余75.14万元。</w:t>
      </w:r>
    </w:p>
    <w:p>
      <w:pPr>
        <w:spacing w:line="580" w:lineRule="exact"/>
        <w:ind w:firstLine="640"/>
        <w:jc w:val="both"/>
      </w:pPr>
      <w:r>
        <w:rPr>
          <w:rFonts w:ascii="仿宋_GB2312" w:hAnsi="仿宋_GB2312" w:eastAsia="仿宋_GB2312"/>
          <w:b w:val="0"/>
          <w:sz w:val="32"/>
        </w:rPr>
        <w:t>收入支出总体与上年相比，减少3,194.82万元，下降16.07%，主要原因是：阿图什市阿胡乡尤喀克买里村，松他克镇，上阿图什镇托卡其拉村桥梁建设项目，阿图什市X373线，X379线养护项目等项目支出减少。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本年收入16,188.43万元，</w:t>
      </w:r>
      <w:r>
        <w:rPr>
          <w:rFonts w:ascii="仿宋_GB2312" w:hAnsi="仿宋_GB2312" w:eastAsia="仿宋_GB2312"/>
          <w:b w:val="0"/>
          <w:sz w:val="32"/>
        </w:rPr>
        <w:t>其中：财政拨款收入15,824.03万元，占97.75%；上级补助收入0.00万元，占0.00%；事业收入0.00万元，占0.00%；经营收入0.00万元，占0.00%；附属单位上缴收入0.00万元，占0.00%；其他收入364.40万元，占2.25%。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本年支出16,607.24万元，</w:t>
      </w:r>
      <w:r>
        <w:rPr>
          <w:rFonts w:ascii="仿宋_GB2312" w:hAnsi="仿宋_GB2312" w:eastAsia="仿宋_GB2312"/>
          <w:b w:val="0"/>
          <w:sz w:val="32"/>
        </w:rPr>
        <w:t>其中：基本支出1,155.58万元，占6.96%；项目支出15,451.66万元，占93.04%；上缴上级支出0.00万元，占0.00%；经营支出0.00万元，占0.00%；对附属单位补助支出0.00万元，占0.00%。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2024年度财政拨款收入总计15,824.03万元，</w:t>
      </w:r>
      <w:r>
        <w:rPr>
          <w:rFonts w:ascii="仿宋_GB2312" w:hAnsi="仿宋_GB2312" w:eastAsia="仿宋_GB2312"/>
          <w:b w:val="0"/>
          <w:sz w:val="32"/>
        </w:rPr>
        <w:t>其中：年初财政拨款结转和结余0.00万元，本年财政拨款收入15,824.03万元。</w:t>
      </w:r>
      <w:r>
        <w:rPr>
          <w:rFonts w:ascii="仿宋_GB2312" w:hAnsi="仿宋_GB2312" w:eastAsia="仿宋_GB2312"/>
          <w:b/>
          <w:sz w:val="32"/>
        </w:rPr>
        <w:t>财政拨款支出总计15,824.03万元，</w:t>
      </w:r>
      <w:r>
        <w:rPr>
          <w:rFonts w:ascii="仿宋_GB2312" w:hAnsi="仿宋_GB2312" w:eastAsia="仿宋_GB2312"/>
          <w:b w:val="0"/>
          <w:sz w:val="32"/>
        </w:rPr>
        <w:t>其中：年末财政拨款结转和结余0.00万元，本年财政拨款支出15,824.03万元。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减少1,983.45万元，下降11.14%，主要原因是：阿图什市阿胡乡尤喀克买里村，松他克镇，上阿图什镇托卡其拉村桥梁建设项目，阿图什市X373线，X379线养护项目等项目支出减少。</w:t>
      </w:r>
      <w:r>
        <w:rPr>
          <w:rFonts w:ascii="仿宋_GB2312" w:hAnsi="仿宋_GB2312" w:eastAsia="仿宋_GB2312"/>
          <w:b/>
          <w:sz w:val="32"/>
        </w:rPr>
        <w:t>与年初预算相比，</w:t>
      </w:r>
      <w:r>
        <w:rPr>
          <w:rFonts w:ascii="仿宋_GB2312" w:hAnsi="仿宋_GB2312" w:eastAsia="仿宋_GB2312"/>
          <w:b w:val="0"/>
          <w:sz w:val="32"/>
        </w:rPr>
        <w:t>年初预算数12,858.24万元，决算数15,824.03万元，预决算差异率23.07%，主要原因是：年中追加人员工资、社保、公积金基数调增部分资金，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草原补偿</w:t>
      </w:r>
      <w:r>
        <w:rPr>
          <w:rFonts w:hint="eastAsia" w:ascii="仿宋_GB2312" w:hAnsi="仿宋_GB2312" w:eastAsia="仿宋_GB2312"/>
          <w:b w:val="0"/>
          <w:sz w:val="32"/>
          <w:lang w:eastAsia="zh-CN"/>
        </w:rPr>
        <w:t>、</w:t>
      </w:r>
      <w:r>
        <w:rPr>
          <w:rFonts w:ascii="仿宋_GB2312" w:hAnsi="仿宋_GB2312" w:eastAsia="仿宋_GB2312"/>
          <w:b w:val="0"/>
          <w:sz w:val="32"/>
        </w:rPr>
        <w:t>一个公益性群体人员一次性票价补贴</w:t>
      </w:r>
      <w:r>
        <w:rPr>
          <w:rFonts w:hint="eastAsia" w:ascii="仿宋_GB2312" w:hAnsi="仿宋_GB2312" w:eastAsia="仿宋_GB2312"/>
          <w:b w:val="0"/>
          <w:sz w:val="32"/>
          <w:lang w:val="en-US" w:eastAsia="zh-CN"/>
        </w:rPr>
        <w:t>等项目经费</w:t>
      </w:r>
      <w:r>
        <w:rPr>
          <w:rFonts w:ascii="仿宋_GB2312" w:hAnsi="仿宋_GB2312" w:eastAsia="仿宋_GB2312"/>
          <w:b w:val="0"/>
          <w:sz w:val="32"/>
        </w:rPr>
        <w:t>，导致预决算差异。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2024年度一般公共预算财政拨款支出15,147.86万元，</w:t>
      </w:r>
      <w:r>
        <w:rPr>
          <w:rFonts w:ascii="仿宋_GB2312" w:hAnsi="仿宋_GB2312" w:eastAsia="仿宋_GB2312"/>
          <w:b w:val="0"/>
          <w:sz w:val="32"/>
        </w:rPr>
        <w:t>占本年支出合计的91.21%。</w:t>
      </w:r>
      <w:r>
        <w:rPr>
          <w:rFonts w:ascii="仿宋_GB2312" w:hAnsi="仿宋_GB2312" w:eastAsia="仿宋_GB2312"/>
          <w:b/>
          <w:sz w:val="32"/>
        </w:rPr>
        <w:t>与上年相比，</w:t>
      </w:r>
      <w:r>
        <w:rPr>
          <w:rFonts w:ascii="仿宋_GB2312" w:hAnsi="仿宋_GB2312" w:eastAsia="仿宋_GB2312"/>
          <w:b w:val="0"/>
          <w:sz w:val="32"/>
        </w:rPr>
        <w:t>减少1,359.62万元，下降8.24%，主要原因是：阿图什市阿胡乡尤喀克买里村，松他克镇，上阿图什镇托卡其拉村桥梁建设项目，阿图什市X373线，X379线养护项目等项目支出减少。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年初预算数12,858.24万元，决算数15,147.86万元，预决算差异率17.81%，主要原因是：年中追加人员工资、社保、公积金基数调增部分资金，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草原补偿项目经费，导致预决算差异。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1.一般公共服务支出(类)35.92万元</w:t>
      </w:r>
      <w:r>
        <w:rPr>
          <w:rFonts w:hint="eastAsia" w:ascii="仿宋_GB2312" w:hAnsi="仿宋_GB2312" w:eastAsia="仿宋_GB2312"/>
          <w:b w:val="0"/>
          <w:sz w:val="32"/>
          <w:lang w:eastAsia="zh-CN"/>
        </w:rPr>
        <w:t>，</w:t>
      </w:r>
      <w:r>
        <w:rPr>
          <w:rFonts w:ascii="仿宋_GB2312" w:hAnsi="仿宋_GB2312" w:eastAsia="仿宋_GB2312"/>
          <w:b w:val="0"/>
          <w:sz w:val="32"/>
        </w:rPr>
        <w:t>占0.24%。</w:t>
      </w:r>
    </w:p>
    <w:p>
      <w:pPr>
        <w:spacing w:line="580" w:lineRule="exact"/>
        <w:ind w:firstLine="640"/>
        <w:jc w:val="both"/>
      </w:pPr>
      <w:r>
        <w:rPr>
          <w:rFonts w:ascii="仿宋_GB2312" w:hAnsi="仿宋_GB2312" w:eastAsia="仿宋_GB2312"/>
          <w:b w:val="0"/>
          <w:sz w:val="32"/>
        </w:rPr>
        <w:t>2.公共安全支出(类)328.95万元</w:t>
      </w:r>
      <w:r>
        <w:rPr>
          <w:rFonts w:hint="eastAsia" w:ascii="仿宋_GB2312" w:hAnsi="仿宋_GB2312" w:eastAsia="仿宋_GB2312"/>
          <w:b w:val="0"/>
          <w:sz w:val="32"/>
          <w:lang w:eastAsia="zh-CN"/>
        </w:rPr>
        <w:t>，</w:t>
      </w:r>
      <w:r>
        <w:rPr>
          <w:rFonts w:ascii="仿宋_GB2312" w:hAnsi="仿宋_GB2312" w:eastAsia="仿宋_GB2312"/>
          <w:b w:val="0"/>
          <w:sz w:val="32"/>
        </w:rPr>
        <w:t>占2.17%。</w:t>
      </w:r>
    </w:p>
    <w:p>
      <w:pPr>
        <w:spacing w:line="580" w:lineRule="exact"/>
        <w:ind w:firstLine="640"/>
        <w:jc w:val="both"/>
      </w:pPr>
      <w:r>
        <w:rPr>
          <w:rFonts w:ascii="仿宋_GB2312" w:hAnsi="仿宋_GB2312" w:eastAsia="仿宋_GB2312"/>
          <w:b w:val="0"/>
          <w:sz w:val="32"/>
        </w:rPr>
        <w:t>3.社会保障和就业支出(类)66.08万元</w:t>
      </w:r>
      <w:r>
        <w:rPr>
          <w:rFonts w:hint="eastAsia" w:ascii="仿宋_GB2312" w:hAnsi="仿宋_GB2312" w:eastAsia="仿宋_GB2312"/>
          <w:b w:val="0"/>
          <w:sz w:val="32"/>
          <w:lang w:eastAsia="zh-CN"/>
        </w:rPr>
        <w:t>，</w:t>
      </w:r>
      <w:r>
        <w:rPr>
          <w:rFonts w:ascii="仿宋_GB2312" w:hAnsi="仿宋_GB2312" w:eastAsia="仿宋_GB2312"/>
          <w:b w:val="0"/>
          <w:sz w:val="32"/>
        </w:rPr>
        <w:t>占0.44%。</w:t>
      </w:r>
    </w:p>
    <w:p>
      <w:pPr>
        <w:spacing w:line="580" w:lineRule="exact"/>
        <w:ind w:firstLine="640"/>
        <w:jc w:val="both"/>
      </w:pPr>
      <w:r>
        <w:rPr>
          <w:rFonts w:ascii="仿宋_GB2312" w:hAnsi="仿宋_GB2312" w:eastAsia="仿宋_GB2312"/>
          <w:b w:val="0"/>
          <w:sz w:val="32"/>
        </w:rPr>
        <w:t>4.卫生健康支出(类)41.05万元</w:t>
      </w:r>
      <w:r>
        <w:rPr>
          <w:rFonts w:hint="eastAsia" w:ascii="仿宋_GB2312" w:hAnsi="仿宋_GB2312" w:eastAsia="仿宋_GB2312"/>
          <w:b w:val="0"/>
          <w:sz w:val="32"/>
          <w:lang w:eastAsia="zh-CN"/>
        </w:rPr>
        <w:t>，</w:t>
      </w:r>
      <w:r>
        <w:rPr>
          <w:rFonts w:ascii="仿宋_GB2312" w:hAnsi="仿宋_GB2312" w:eastAsia="仿宋_GB2312"/>
          <w:b w:val="0"/>
          <w:sz w:val="32"/>
        </w:rPr>
        <w:t>占0.27%。</w:t>
      </w:r>
    </w:p>
    <w:p>
      <w:pPr>
        <w:spacing w:line="580" w:lineRule="exact"/>
        <w:ind w:firstLine="640"/>
        <w:jc w:val="both"/>
      </w:pPr>
      <w:r>
        <w:rPr>
          <w:rFonts w:ascii="仿宋_GB2312" w:hAnsi="仿宋_GB2312" w:eastAsia="仿宋_GB2312"/>
          <w:b w:val="0"/>
          <w:sz w:val="32"/>
        </w:rPr>
        <w:t>5.农林水支出(类)7,974.42万元</w:t>
      </w:r>
      <w:r>
        <w:rPr>
          <w:rFonts w:hint="eastAsia" w:ascii="仿宋_GB2312" w:hAnsi="仿宋_GB2312" w:eastAsia="仿宋_GB2312"/>
          <w:b w:val="0"/>
          <w:sz w:val="32"/>
          <w:lang w:eastAsia="zh-CN"/>
        </w:rPr>
        <w:t>，</w:t>
      </w:r>
      <w:r>
        <w:rPr>
          <w:rFonts w:ascii="仿宋_GB2312" w:hAnsi="仿宋_GB2312" w:eastAsia="仿宋_GB2312"/>
          <w:b w:val="0"/>
          <w:sz w:val="32"/>
        </w:rPr>
        <w:t>占52.64%。</w:t>
      </w:r>
    </w:p>
    <w:p>
      <w:pPr>
        <w:spacing w:line="580" w:lineRule="exact"/>
        <w:ind w:firstLine="640"/>
        <w:jc w:val="both"/>
      </w:pPr>
      <w:r>
        <w:rPr>
          <w:rFonts w:ascii="仿宋_GB2312" w:hAnsi="仿宋_GB2312" w:eastAsia="仿宋_GB2312"/>
          <w:b w:val="0"/>
          <w:sz w:val="32"/>
        </w:rPr>
        <w:t>6.交通运输支出(类)6,564.91万元</w:t>
      </w:r>
      <w:r>
        <w:rPr>
          <w:rFonts w:hint="eastAsia" w:ascii="仿宋_GB2312" w:hAnsi="仿宋_GB2312" w:eastAsia="仿宋_GB2312"/>
          <w:b w:val="0"/>
          <w:sz w:val="32"/>
          <w:lang w:eastAsia="zh-CN"/>
        </w:rPr>
        <w:t>，</w:t>
      </w:r>
      <w:r>
        <w:rPr>
          <w:rFonts w:ascii="仿宋_GB2312" w:hAnsi="仿宋_GB2312" w:eastAsia="仿宋_GB2312"/>
          <w:b w:val="0"/>
          <w:sz w:val="32"/>
        </w:rPr>
        <w:t>占43.34%。</w:t>
      </w:r>
    </w:p>
    <w:p>
      <w:pPr>
        <w:spacing w:line="580" w:lineRule="exact"/>
        <w:ind w:firstLine="640"/>
        <w:jc w:val="both"/>
      </w:pPr>
      <w:r>
        <w:rPr>
          <w:rFonts w:ascii="仿宋_GB2312" w:hAnsi="仿宋_GB2312" w:eastAsia="仿宋_GB2312"/>
          <w:b w:val="0"/>
          <w:sz w:val="32"/>
        </w:rPr>
        <w:t>7.住房保障支出(类)36.52万元</w:t>
      </w:r>
      <w:r>
        <w:rPr>
          <w:rFonts w:hint="eastAsia" w:ascii="仿宋_GB2312" w:hAnsi="仿宋_GB2312" w:eastAsia="仿宋_GB2312"/>
          <w:b w:val="0"/>
          <w:sz w:val="32"/>
          <w:lang w:eastAsia="zh-CN"/>
        </w:rPr>
        <w:t>，</w:t>
      </w:r>
      <w:r>
        <w:rPr>
          <w:rFonts w:ascii="仿宋_GB2312" w:hAnsi="仿宋_GB2312" w:eastAsia="仿宋_GB2312"/>
          <w:b w:val="0"/>
          <w:sz w:val="32"/>
        </w:rPr>
        <w:t>占0.24%。</w:t>
      </w:r>
    </w:p>
    <w:p>
      <w:pPr>
        <w:spacing w:line="580" w:lineRule="exact"/>
        <w:ind w:firstLine="640"/>
        <w:jc w:val="both"/>
      </w:pPr>
      <w:r>
        <w:rPr>
          <w:rFonts w:ascii="仿宋_GB2312" w:hAnsi="仿宋_GB2312" w:eastAsia="仿宋_GB2312"/>
          <w:b w:val="0"/>
          <w:sz w:val="32"/>
        </w:rPr>
        <w:t>8.其他支出(类)100.00万元</w:t>
      </w:r>
      <w:r>
        <w:rPr>
          <w:rFonts w:hint="eastAsia" w:ascii="仿宋_GB2312" w:hAnsi="仿宋_GB2312" w:eastAsia="仿宋_GB2312"/>
          <w:b w:val="0"/>
          <w:sz w:val="32"/>
          <w:lang w:eastAsia="zh-CN"/>
        </w:rPr>
        <w:t>，</w:t>
      </w:r>
      <w:r>
        <w:rPr>
          <w:rFonts w:ascii="仿宋_GB2312" w:hAnsi="仿宋_GB2312" w:eastAsia="仿宋_GB2312"/>
          <w:b w:val="0"/>
          <w:sz w:val="32"/>
        </w:rPr>
        <w:t>占0.66%。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支出决算数为30.00万元，比上年决算增加30.00万元，增长100.00%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主要原因是：本年度办公费、印刷费等经费支出增加。</w:t>
      </w:r>
    </w:p>
    <w:p>
      <w:pPr>
        <w:spacing w:line="580" w:lineRule="exact"/>
        <w:ind w:firstLine="640"/>
        <w:jc w:val="both"/>
      </w:pPr>
      <w:r>
        <w:rPr>
          <w:rFonts w:ascii="仿宋_GB2312" w:hAnsi="仿宋_GB2312" w:eastAsia="仿宋_GB2312"/>
          <w:b w:val="0"/>
          <w:sz w:val="32"/>
        </w:rPr>
        <w:t>2.一般公共服务支出(类)组织事务(款)其他组织事务支出(项)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支出决算数为5.92万元，比上年决算减少21.29万元，下降78.24%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主要原因是：本年为民办实事工作经费减少。</w:t>
      </w:r>
    </w:p>
    <w:p>
      <w:pPr>
        <w:spacing w:line="580" w:lineRule="exact"/>
        <w:ind w:firstLine="640"/>
        <w:jc w:val="both"/>
      </w:pPr>
      <w:r>
        <w:rPr>
          <w:rFonts w:ascii="仿宋_GB2312" w:hAnsi="仿宋_GB2312" w:eastAsia="仿宋_GB2312"/>
          <w:b w:val="0"/>
          <w:sz w:val="32"/>
        </w:rPr>
        <w:t>3.公共安全支出(类)司法(款)行政运行(项)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支出决算数为328.95万元，比上年决算增加328.95万元，增长100.00%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主要原因是：本年劳务费、委托业务费支出增加。</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支出决算数为11.28万元，比上年决算增加2.03万元，增长21.95%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主要原因是：本年在职1人转退休，退休人员绩效增加，补发上年绩效奖，导致支出增加。</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支出决算数为1.27万元，比上年决算增加0.21万元，增长19.81%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主要原因是：本年退休人员绩效增加，补发上年绩效奖，导致退休费较上年增加。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支出决算数为45.34万元，比上年决算增加3.89万元，增长9.38%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支出决算数为8.20万元，比上年决算减少5.09万元，下降38.30%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主要原因是：本年新增在职1人转退休较上年减少，导致机关事业单位职业年金缴费支出</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8.卫生健康支出(类)公共卫生(款)突发公共卫生事件应急处置(项)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支出决算数为24.09万元，比上年决算增加24.09万元，增长100.00%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主要原因是：本年突发公共卫生事件应急处置项目经费增加，导致此科目经费增加。</w:t>
      </w:r>
    </w:p>
    <w:p>
      <w:pPr>
        <w:spacing w:line="580" w:lineRule="exact"/>
        <w:ind w:firstLine="640"/>
        <w:jc w:val="both"/>
      </w:pPr>
      <w:r>
        <w:rPr>
          <w:rFonts w:ascii="仿宋_GB2312" w:hAnsi="仿宋_GB2312" w:eastAsia="仿宋_GB2312"/>
          <w:b w:val="0"/>
          <w:sz w:val="32"/>
        </w:rPr>
        <w:t>9.卫生健康支出(类)行政事业单位医疗(款)行政单位医疗(项)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支出决算数为13.85万元，比上年决算增加1.68万元，增长13.80%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支出决算数为3.11万元，比上年决算增加0.47万元，增长17.80%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11.城乡社区支出(类)其他城乡社区支出(款)其他城乡社区支出(项)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支出决算数为0.00万元，比上年决算减少2,705.63万元，下降100.00%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主要原因是：本年度减少阿图什市2017年交通基础设施建设项目。</w:t>
      </w:r>
    </w:p>
    <w:p>
      <w:pPr>
        <w:spacing w:line="580" w:lineRule="exact"/>
        <w:ind w:firstLine="640"/>
        <w:jc w:val="both"/>
      </w:pPr>
      <w:r>
        <w:rPr>
          <w:rFonts w:ascii="仿宋_GB2312" w:hAnsi="仿宋_GB2312" w:eastAsia="仿宋_GB2312"/>
          <w:b w:val="0"/>
          <w:sz w:val="32"/>
        </w:rPr>
        <w:t>12.农林水支出(类)水利(款)其他水利支出(项)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支出决算数为0.00万元，比上年决算减少14.21万元，下降100.00%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主要原因是：本年度减少阿图什市现代畜牧产业园道路工程建设项目资金。</w:t>
      </w:r>
    </w:p>
    <w:p>
      <w:pPr>
        <w:spacing w:line="580" w:lineRule="exact"/>
        <w:ind w:firstLine="640"/>
        <w:jc w:val="both"/>
      </w:pPr>
      <w:r>
        <w:rPr>
          <w:rFonts w:ascii="仿宋_GB2312" w:hAnsi="仿宋_GB2312" w:eastAsia="仿宋_GB2312"/>
          <w:b w:val="0"/>
          <w:sz w:val="32"/>
        </w:rPr>
        <w:t>13.农林水支出(类)巩固脱贫攻坚成果衔接乡村振兴(款)农村基础设施建设(项)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支出决算数为1,043.38万元，比上年决算增加1,004.72万元，增长2,598.86%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主要原因是：本年度增加阿图什市现代畜牧产业园道路工程建设项目。</w:t>
      </w:r>
    </w:p>
    <w:p>
      <w:pPr>
        <w:spacing w:line="580" w:lineRule="exact"/>
        <w:ind w:firstLine="640"/>
        <w:jc w:val="both"/>
      </w:pPr>
      <w:r>
        <w:rPr>
          <w:rFonts w:ascii="仿宋_GB2312" w:hAnsi="仿宋_GB2312" w:eastAsia="仿宋_GB2312"/>
          <w:b w:val="0"/>
          <w:sz w:val="32"/>
        </w:rPr>
        <w:t>14.农林水支出(类)巩固脱贫攻坚成果衔接乡村振兴(款)生产发展(项)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支出决算数为1,648.19万元，比上年决算减少4,314.96万元，下降72.36%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主要原因是：本年度减少阿图什市阿胡乡尤喀克买里村，松他克镇，上阿图什镇托卡其拉村桥梁建设项目经费。</w:t>
      </w:r>
    </w:p>
    <w:p>
      <w:pPr>
        <w:spacing w:line="580" w:lineRule="exact"/>
        <w:ind w:firstLine="640"/>
        <w:jc w:val="both"/>
      </w:pPr>
      <w:r>
        <w:rPr>
          <w:rFonts w:ascii="仿宋_GB2312" w:hAnsi="仿宋_GB2312" w:eastAsia="仿宋_GB2312"/>
          <w:b w:val="0"/>
          <w:sz w:val="32"/>
        </w:rPr>
        <w:t>15.农林水支出(类)巩固脱贫攻坚成果衔接乡村振兴(款)其他巩固脱贫攻坚成果衔接乡村振兴支出(项)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支出决算数为5,282.85万元，比上年决算增加5,282.85万元，增长100.00%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主要原因是：本年度增加关于提前下达2024年中央财政衔接推进乡村振兴补助资金预算的通知的项目经费。</w:t>
      </w:r>
    </w:p>
    <w:p>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16.交通运输支出(类)公路水路运输(款)行政运行(项)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支出决算数为570.81万元，比上年决算增加278.24万元，增长95.10%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增加税金及附加费用等经费，导致相关经费增加。</w:t>
      </w:r>
    </w:p>
    <w:p>
      <w:pPr>
        <w:spacing w:line="580" w:lineRule="exact"/>
        <w:ind w:firstLine="640"/>
        <w:jc w:val="both"/>
      </w:pPr>
      <w:r>
        <w:rPr>
          <w:rFonts w:ascii="仿宋_GB2312" w:hAnsi="仿宋_GB2312" w:eastAsia="仿宋_GB2312"/>
          <w:b w:val="0"/>
          <w:sz w:val="32"/>
        </w:rPr>
        <w:t>17.交通运输支出(类)公路水路运输(款)公路建设(项)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支出决算数为2,701.47万元，比上年决算增加2,701.47万元，增长100.00%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主要原因是：本年度增加关于下达车辆购置税补助地方（第二批）资金经费。</w:t>
      </w:r>
    </w:p>
    <w:p>
      <w:pPr>
        <w:spacing w:line="580" w:lineRule="exact"/>
        <w:ind w:firstLine="640"/>
        <w:jc w:val="both"/>
      </w:pPr>
      <w:r>
        <w:rPr>
          <w:rFonts w:ascii="仿宋_GB2312" w:hAnsi="仿宋_GB2312" w:eastAsia="仿宋_GB2312"/>
          <w:b w:val="0"/>
          <w:sz w:val="32"/>
        </w:rPr>
        <w:t>18.交通运输支出(类)公路水路运输(款)公路养护(项)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支出决算数为2,603.54万元，比上年决算增加138.58万元，增长5.62%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主要原因是：本年度增加阿图什市X373线养护项目经费。</w:t>
      </w:r>
    </w:p>
    <w:p>
      <w:pPr>
        <w:spacing w:line="580" w:lineRule="exact"/>
        <w:ind w:firstLine="640"/>
        <w:jc w:val="both"/>
      </w:pPr>
      <w:r>
        <w:rPr>
          <w:rFonts w:ascii="仿宋_GB2312" w:hAnsi="仿宋_GB2312" w:eastAsia="仿宋_GB2312"/>
          <w:b w:val="0"/>
          <w:sz w:val="32"/>
        </w:rPr>
        <w:t>19.交通运输支出(类)公路水路运输(款)其他公路水路运输支出(项)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支出决算数为203.87万元，比上年决算减少87.28万元，下降29.98%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主要原因是：本年度减少农村客运补贴及城市交通奖励资金标准。</w:t>
      </w:r>
    </w:p>
    <w:p>
      <w:pPr>
        <w:spacing w:line="580" w:lineRule="exact"/>
        <w:ind w:firstLine="640"/>
        <w:jc w:val="both"/>
      </w:pPr>
      <w:r>
        <w:rPr>
          <w:rFonts w:ascii="仿宋_GB2312" w:hAnsi="仿宋_GB2312" w:eastAsia="仿宋_GB2312"/>
          <w:b w:val="0"/>
          <w:sz w:val="32"/>
        </w:rPr>
        <w:t>20.交通运输支出(类)车辆购置税支出(款)车辆购置税用于公路等基础设施建设支出(项)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支出决算数为0.00万元，比上年决算减少4,024.60万元，下降100.00%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主要原因是：本年度减少阿图什市抵边自然村道路建设项目资金。</w:t>
      </w:r>
    </w:p>
    <w:p>
      <w:pPr>
        <w:spacing w:line="580" w:lineRule="exact"/>
        <w:ind w:firstLine="640"/>
        <w:jc w:val="both"/>
      </w:pPr>
      <w:r>
        <w:rPr>
          <w:rFonts w:ascii="仿宋_GB2312" w:hAnsi="仿宋_GB2312" w:eastAsia="仿宋_GB2312"/>
          <w:b w:val="0"/>
          <w:sz w:val="32"/>
        </w:rPr>
        <w:t>21.交通运输支出(类)车辆购置税支出(款)车辆购置税用于农村公路建设支出(项)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支出决算数为0.00万元，比上年决算减少233.43万元，下降100.00%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主要原因是：本年度农村公路安全生命</w:t>
      </w:r>
      <w:r>
        <w:rPr>
          <w:rFonts w:hint="eastAsia" w:ascii="仿宋_GB2312" w:hAnsi="仿宋_GB2312" w:eastAsia="仿宋_GB2312"/>
          <w:b w:val="0"/>
          <w:sz w:val="32"/>
          <w:lang w:val="en-US" w:eastAsia="zh-CN"/>
        </w:rPr>
        <w:t>防护</w:t>
      </w:r>
      <w:r>
        <w:rPr>
          <w:rFonts w:ascii="仿宋_GB2312" w:hAnsi="仿宋_GB2312" w:eastAsia="仿宋_GB2312"/>
          <w:b w:val="0"/>
          <w:sz w:val="32"/>
        </w:rPr>
        <w:t>工程项目完工，导致此经费减少。</w:t>
      </w:r>
    </w:p>
    <w:p>
      <w:pPr>
        <w:spacing w:line="580" w:lineRule="exact"/>
        <w:ind w:firstLine="640"/>
        <w:jc w:val="both"/>
      </w:pPr>
      <w:r>
        <w:rPr>
          <w:rFonts w:ascii="仿宋_GB2312" w:hAnsi="仿宋_GB2312" w:eastAsia="仿宋_GB2312"/>
          <w:b w:val="0"/>
          <w:sz w:val="32"/>
        </w:rPr>
        <w:t>22.交通运输支出(类)车辆购置税支出(款)车辆购置税其他支出(项)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支出决算数为0.00万元，比上年决算减少19.86万元，下降100.00%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主要原因是：本年度克州平原林场克青孜分场—新苗圃道路建设项目支出减少，导致此经费减少。</w:t>
      </w:r>
    </w:p>
    <w:p>
      <w:pPr>
        <w:spacing w:line="580" w:lineRule="exact"/>
        <w:ind w:firstLine="640"/>
        <w:jc w:val="both"/>
      </w:pPr>
      <w:r>
        <w:rPr>
          <w:rFonts w:ascii="仿宋_GB2312" w:hAnsi="仿宋_GB2312" w:eastAsia="仿宋_GB2312"/>
          <w:b w:val="0"/>
          <w:sz w:val="32"/>
        </w:rPr>
        <w:t>23.交通运输支出(类)其他交通运输支出(款)公共交通运营补助(项)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支出决算数为409.69万元，比上年决算增加97.75万元，增长31.34%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主要原因是：本年度增加给公交公司运营补助资金。</w:t>
      </w:r>
    </w:p>
    <w:p>
      <w:pPr>
        <w:spacing w:line="580" w:lineRule="exact"/>
        <w:ind w:firstLine="640"/>
        <w:jc w:val="both"/>
      </w:pPr>
      <w:r>
        <w:rPr>
          <w:rFonts w:ascii="仿宋_GB2312" w:hAnsi="仿宋_GB2312" w:eastAsia="仿宋_GB2312"/>
          <w:b w:val="0"/>
          <w:sz w:val="32"/>
        </w:rPr>
        <w:t>24.交通运输支出(类)其他交通运输支出(款)其他交通运输支出(项)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支出决算数为75.54万元，比上年决算增加69.77万元，增长1,209.19%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主要原因是：本年度增加城市公交油价补贴及农村油价补贴资金。</w:t>
      </w:r>
    </w:p>
    <w:p>
      <w:pPr>
        <w:spacing w:line="580" w:lineRule="exact"/>
        <w:ind w:firstLine="640"/>
        <w:jc w:val="both"/>
      </w:pPr>
      <w:r>
        <w:rPr>
          <w:rFonts w:ascii="仿宋_GB2312" w:hAnsi="仿宋_GB2312" w:eastAsia="仿宋_GB2312"/>
          <w:b w:val="0"/>
          <w:sz w:val="32"/>
        </w:rPr>
        <w:t>25.住房保障支出(类)住房改革支出(款)住房公积金(项)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支出决算数为36.52万元，比上年决算增加2.03万元，增长5.89%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主要原因是：本年在职人员增加，住房公积金支出增加。</w:t>
      </w:r>
    </w:p>
    <w:p>
      <w:pPr>
        <w:spacing w:line="580" w:lineRule="exact"/>
        <w:ind w:firstLine="640"/>
        <w:jc w:val="both"/>
      </w:pPr>
      <w:r>
        <w:rPr>
          <w:rFonts w:ascii="仿宋_GB2312" w:hAnsi="仿宋_GB2312" w:eastAsia="仿宋_GB2312"/>
          <w:b w:val="0"/>
          <w:sz w:val="32"/>
        </w:rPr>
        <w:t>26.其他支出(类)其他支出(款)其他支出(项)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支出决算数为100.00万元，比上年决算增加100.00万元，增长100.00%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主要原因是：本年度增加2020年阿图什市农村公路安全生命防护工程勘察设计，施工总承包资金。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2024年度一般公共预算财政拨款基本支出1,153.19万元，其中：</w:t>
      </w:r>
      <w:r>
        <w:rPr>
          <w:rFonts w:ascii="仿宋_GB2312" w:hAnsi="仿宋_GB2312" w:eastAsia="仿宋_GB2312"/>
          <w:b/>
          <w:sz w:val="32"/>
        </w:rPr>
        <w:t>人员经费492.04万元，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公用经费661.15万元，</w:t>
      </w:r>
      <w:r>
        <w:rPr>
          <w:rFonts w:ascii="仿宋_GB2312" w:hAnsi="仿宋_GB2312" w:eastAsia="仿宋_GB2312"/>
          <w:b w:val="0"/>
          <w:sz w:val="32"/>
        </w:rPr>
        <w:t>包括：办公费、印刷费、邮电费、差旅费、维修（护）费、劳务费、委托业务费、公务用车运行维护费、税金及附加费用、办公设备购置。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2024年度政府性基金预算财政拨款收入总计376.17万元，</w:t>
      </w:r>
      <w:r>
        <w:rPr>
          <w:rFonts w:ascii="仿宋_GB2312" w:hAnsi="仿宋_GB2312" w:eastAsia="仿宋_GB2312"/>
          <w:b w:val="0"/>
          <w:sz w:val="32"/>
        </w:rPr>
        <w:t>其中：年初结转和结余0.00万元，本年收入376.17万元。</w:t>
      </w:r>
      <w:r>
        <w:rPr>
          <w:rFonts w:ascii="仿宋_GB2312" w:hAnsi="仿宋_GB2312" w:eastAsia="仿宋_GB2312"/>
          <w:b/>
          <w:sz w:val="32"/>
        </w:rPr>
        <w:t>政府性基金预算财政拨款支出总计376.17万元，</w:t>
      </w:r>
      <w:r>
        <w:rPr>
          <w:rFonts w:ascii="仿宋_GB2312" w:hAnsi="仿宋_GB2312" w:eastAsia="仿宋_GB2312"/>
          <w:b w:val="0"/>
          <w:sz w:val="32"/>
        </w:rPr>
        <w:t>其中：年末结转和结余0.00万元，本年支出376.17万元。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减少923.83万元，下降71.06%，主要原因是：本年度减少2023年度其他地方自行试点项目收益专项债券收入</w:t>
      </w:r>
      <w:r>
        <w:rPr>
          <w:rFonts w:hint="eastAsia" w:ascii="仿宋_GB2312" w:hAnsi="仿宋_GB2312" w:eastAsia="仿宋_GB2312"/>
          <w:b w:val="0"/>
          <w:sz w:val="32"/>
          <w:lang w:eastAsia="zh-CN"/>
        </w:rPr>
        <w:t>安排的</w:t>
      </w:r>
      <w:r>
        <w:rPr>
          <w:rFonts w:ascii="仿宋_GB2312" w:hAnsi="仿宋_GB2312" w:eastAsia="仿宋_GB2312"/>
          <w:b w:val="0"/>
          <w:sz w:val="32"/>
        </w:rPr>
        <w:t>阿图什市2017年农村公路建设地下自来水管网项目。</w:t>
      </w:r>
      <w:r>
        <w:rPr>
          <w:rFonts w:ascii="仿宋_GB2312" w:hAnsi="仿宋_GB2312" w:eastAsia="仿宋_GB2312"/>
          <w:b/>
          <w:sz w:val="32"/>
        </w:rPr>
        <w:t>与年初预算相比，</w:t>
      </w:r>
      <w:r>
        <w:rPr>
          <w:rFonts w:ascii="仿宋_GB2312" w:hAnsi="仿宋_GB2312" w:eastAsia="仿宋_GB2312"/>
          <w:b w:val="0"/>
          <w:sz w:val="32"/>
        </w:rPr>
        <w:t>年初预算数0.00万元，决算数376.17万元，预决算差异率100.00%，主要原因是：年中追加项目征建的草原补偿和安置补偿、货物运车以旧换新项目补助。</w:t>
      </w:r>
    </w:p>
    <w:p>
      <w:pPr>
        <w:spacing w:line="580" w:lineRule="exact"/>
        <w:ind w:firstLine="640"/>
        <w:jc w:val="both"/>
      </w:pPr>
      <w:r>
        <w:rPr>
          <w:rFonts w:ascii="仿宋_GB2312" w:hAnsi="仿宋_GB2312" w:eastAsia="仿宋_GB2312"/>
          <w:b w:val="0"/>
          <w:sz w:val="32"/>
        </w:rPr>
        <w:t>政府性基金预算财政拨款支出376.17万元。</w:t>
      </w:r>
    </w:p>
    <w:p>
      <w:pPr>
        <w:spacing w:line="580" w:lineRule="exact"/>
        <w:ind w:firstLine="640"/>
        <w:jc w:val="both"/>
      </w:pPr>
      <w:r>
        <w:rPr>
          <w:rFonts w:ascii="仿宋_GB2312" w:hAnsi="仿宋_GB2312" w:eastAsia="仿宋_GB2312"/>
          <w:b w:val="0"/>
          <w:sz w:val="32"/>
        </w:rPr>
        <w:t>1.城乡社区支出(类)国有土地使用权出让收入安排的支出(款)</w:t>
      </w:r>
      <w:r>
        <w:rPr>
          <w:rFonts w:hint="eastAsia" w:ascii="仿宋_GB2312" w:hAnsi="仿宋_GB2312" w:eastAsia="仿宋_GB2312"/>
          <w:b w:val="0"/>
          <w:sz w:val="32"/>
          <w:lang w:val="en-US" w:eastAsia="zh-CN"/>
        </w:rPr>
        <w:t>**</w:t>
      </w:r>
      <w:r>
        <w:rPr>
          <w:rFonts w:ascii="仿宋_GB2312" w:hAnsi="仿宋_GB2312" w:eastAsia="仿宋_GB2312"/>
          <w:b w:val="0"/>
          <w:sz w:val="32"/>
        </w:rPr>
        <w:t>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支出决算数为18.57万元，比上年决算增加18.57万元，增长100.00%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主要原因是：本年度增加项目征建的草原补偿和安置补偿。</w:t>
      </w:r>
    </w:p>
    <w:p>
      <w:pPr>
        <w:spacing w:line="580" w:lineRule="exact"/>
        <w:ind w:firstLine="640"/>
        <w:jc w:val="both"/>
      </w:pPr>
      <w:r>
        <w:rPr>
          <w:rFonts w:ascii="仿宋_GB2312" w:hAnsi="仿宋_GB2312" w:eastAsia="仿宋_GB2312"/>
          <w:b w:val="0"/>
          <w:sz w:val="32"/>
        </w:rPr>
        <w:t>2.资源勘探工业信息等支出(类)超长期特别国债安排的支出(款)制造业(项)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支出决算数为357.60万元，比上年决算增加357.60万元，增长100.00%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主要原因是：本年度增加货物运车以旧换新项目补助。</w:t>
      </w:r>
    </w:p>
    <w:p>
      <w:pPr>
        <w:spacing w:line="580" w:lineRule="exact"/>
        <w:ind w:firstLine="640"/>
        <w:jc w:val="both"/>
      </w:pPr>
      <w:r>
        <w:rPr>
          <w:rFonts w:ascii="仿宋_GB2312" w:hAnsi="仿宋_GB2312" w:eastAsia="仿宋_GB2312"/>
          <w:b w:val="0"/>
          <w:sz w:val="32"/>
        </w:rPr>
        <w:t>3.其他支出(类)其他政府性基金及对应专项债务收入安排的支出(款)其他地方自行试点项目收益专项债券收入安排的支出(项)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支出决算数为0.00万元，比上年决算减少1,300.00万元，下降100.00%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主要原因是：本年度减少2023年度其他地方自行试点项目收益专项债券收入</w:t>
      </w:r>
      <w:r>
        <w:rPr>
          <w:rFonts w:hint="eastAsia" w:ascii="仿宋_GB2312" w:hAnsi="仿宋_GB2312" w:eastAsia="仿宋_GB2312"/>
          <w:b w:val="0"/>
          <w:sz w:val="32"/>
          <w:lang w:eastAsia="zh-CN"/>
        </w:rPr>
        <w:t>安排的</w:t>
      </w:r>
      <w:r>
        <w:rPr>
          <w:rFonts w:ascii="仿宋_GB2312" w:hAnsi="仿宋_GB2312" w:eastAsia="仿宋_GB2312"/>
          <w:b w:val="0"/>
          <w:sz w:val="32"/>
        </w:rPr>
        <w:t>阿图什市2017年农村公路建设地下自来水管网项目。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2024年度国有资本经营预算财政拨款收入总计300.00万元，</w:t>
      </w:r>
      <w:r>
        <w:rPr>
          <w:rFonts w:ascii="仿宋_GB2312" w:hAnsi="仿宋_GB2312" w:eastAsia="仿宋_GB2312"/>
          <w:b w:val="0"/>
          <w:sz w:val="32"/>
        </w:rPr>
        <w:t>其中：年初结转和结余0.00万元，本年收入300.00万元。</w:t>
      </w:r>
      <w:r>
        <w:rPr>
          <w:rFonts w:ascii="仿宋_GB2312" w:hAnsi="仿宋_GB2312" w:eastAsia="仿宋_GB2312"/>
          <w:b/>
          <w:sz w:val="32"/>
        </w:rPr>
        <w:t>国有资本经营预算财政拨款支出总计300.00万元，</w:t>
      </w:r>
      <w:r>
        <w:rPr>
          <w:rFonts w:ascii="仿宋_GB2312" w:hAnsi="仿宋_GB2312" w:eastAsia="仿宋_GB2312"/>
          <w:b w:val="0"/>
          <w:sz w:val="32"/>
        </w:rPr>
        <w:t>其中：年末结转和结余0.00万元，本年支出300.00万元。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增加300.00万元，增长100.00%，主要原因是：本年度增加公益性群体人员一次性票价补贴。</w:t>
      </w:r>
      <w:r>
        <w:rPr>
          <w:rFonts w:ascii="仿宋_GB2312" w:hAnsi="仿宋_GB2312" w:eastAsia="仿宋_GB2312"/>
          <w:b/>
          <w:sz w:val="32"/>
        </w:rPr>
        <w:t>与年初预算相比，</w:t>
      </w:r>
      <w:r>
        <w:rPr>
          <w:rFonts w:ascii="仿宋_GB2312" w:hAnsi="仿宋_GB2312" w:eastAsia="仿宋_GB2312"/>
          <w:b w:val="0"/>
          <w:sz w:val="32"/>
        </w:rPr>
        <w:t>年初预算数0.00万元，决算数300.00万元，预决算差异率100.00%，主要原因是：年中追加一个公益性群体人员一次性票价补贴项目。</w:t>
      </w:r>
    </w:p>
    <w:p>
      <w:pPr>
        <w:spacing w:line="580" w:lineRule="exact"/>
        <w:ind w:firstLine="640"/>
        <w:jc w:val="both"/>
      </w:pPr>
      <w:r>
        <w:rPr>
          <w:rFonts w:ascii="仿宋_GB2312" w:hAnsi="仿宋_GB2312" w:eastAsia="仿宋_GB2312"/>
          <w:sz w:val="32"/>
        </w:rPr>
        <w:t>国有资本经营预算财政拨款支出300.00万元。</w:t>
      </w:r>
    </w:p>
    <w:p>
      <w:pPr>
        <w:spacing w:line="580" w:lineRule="exact"/>
        <w:ind w:firstLine="640"/>
        <w:jc w:val="both"/>
      </w:pPr>
      <w:r>
        <w:rPr>
          <w:rFonts w:ascii="仿宋_GB2312" w:hAnsi="仿宋_GB2312" w:eastAsia="仿宋_GB2312"/>
          <w:b w:val="0"/>
          <w:sz w:val="32"/>
        </w:rPr>
        <w:t>1.国有资本经营预算支出(类)其他国有资本经营预算支出(款)其他国有资本经营预算支出(项)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支出决算数为300.00万元，比上年决算增加300.00万元，增长100.00%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主要原因是：本年度增加公益性群体人员一次性票价补贴。</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2024年度财政拨款“三公”经费支出5.29万元，</w:t>
      </w:r>
      <w:r>
        <w:rPr>
          <w:rFonts w:ascii="仿宋_GB2312" w:hAnsi="仿宋_GB2312" w:eastAsia="仿宋_GB2312"/>
          <w:b w:val="0"/>
          <w:sz w:val="32"/>
        </w:rPr>
        <w:t>比上年增加0.49万元，增长10.21%，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5.29万元，占100.00%，比上年增加0.49万元，增长10.21%，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5.29万元，其中：公务用车购置费0.00万元，公务用车运行维护费5.29万元。公务用车运行维护费开支内容包括车辆加油费、维修费。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5.29万元，决算数5.29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5.29万元，决算数5.29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交通运输局（行政单位和参照公务员法管理事业单位）机关运行经费支出661.15万元，比上年增加446.41万元，增长207.88%，主要原因是：本年业务量增加，办公费、专用材料费、劳务费、公务用车运行及维护费、办公设备购置费</w:t>
      </w:r>
      <w:r>
        <w:rPr>
          <w:rFonts w:hint="eastAsia" w:ascii="仿宋_GB2312" w:hAnsi="仿宋_GB2312" w:eastAsia="仿宋_GB2312"/>
          <w:b w:val="0"/>
          <w:sz w:val="32"/>
          <w:lang w:eastAsia="zh-CN"/>
        </w:rPr>
        <w:t>、</w:t>
      </w:r>
      <w:r>
        <w:rPr>
          <w:rFonts w:ascii="仿宋_GB2312" w:hAnsi="仿宋_GB2312" w:eastAsia="仿宋_GB2312"/>
          <w:b w:val="0"/>
          <w:sz w:val="32"/>
        </w:rPr>
        <w:t>税金及附加费用等增加。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2024年度政府采购支出总额60.03万元，其中：政府采购货物支出44.61万元、政府采购工程支出4.39万元、政府采购服务支出11.03万元。</w:t>
      </w:r>
    </w:p>
    <w:p>
      <w:pPr>
        <w:spacing w:line="580" w:lineRule="exact"/>
        <w:ind w:firstLine="640"/>
        <w:jc w:val="both"/>
      </w:pPr>
      <w:r>
        <w:rPr>
          <w:rFonts w:ascii="仿宋_GB2312" w:hAnsi="仿宋_GB2312" w:eastAsia="仿宋_GB2312"/>
          <w:b w:val="0"/>
          <w:sz w:val="32"/>
        </w:rPr>
        <w:t>授予中小企业合同金额59.89万元，占政府采购支出总额的99.77%，其中：授予小微企业合同金额59.89万元，占政府采购支出总额的99.77%。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4辆，价值56.79万元，其中：副部（省）级及以上领导用车0辆、主要负责人用车1辆、机要通信用车0辆、应急保障用车0辆、执法执勤用车2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16,682.38万元，实际执行总额16,607.24万元；预算绩效评价项目8个，全年预算数3,296.84万元，全年执行数2,060.92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w:t>
      </w:r>
      <w:r>
        <w:rPr>
          <w:rFonts w:hint="eastAsia" w:ascii="仿宋_GB2312" w:hAnsi="仿宋_GB2312" w:eastAsia="仿宋_GB2312"/>
          <w:b w:val="0"/>
          <w:sz w:val="32"/>
          <w:lang w:eastAsia="zh-CN"/>
        </w:rPr>
        <w:t>；</w:t>
      </w:r>
      <w:r>
        <w:rPr>
          <w:rFonts w:ascii="仿宋_GB2312" w:hAnsi="仿宋_GB2312" w:eastAsia="仿宋_GB2312"/>
          <w:b w:val="0"/>
          <w:sz w:val="32"/>
        </w:rPr>
        <w:t>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w:t>
      </w:r>
      <w:r>
        <w:rPr>
          <w:rFonts w:hint="eastAsia" w:ascii="仿宋_GB2312" w:hAnsi="仿宋_GB2312" w:eastAsia="仿宋_GB2312"/>
          <w:b w:val="0"/>
          <w:sz w:val="32"/>
          <w:lang w:eastAsia="zh-CN"/>
        </w:rPr>
        <w:t>；</w:t>
      </w:r>
      <w:r>
        <w:rPr>
          <w:rFonts w:ascii="仿宋_GB2312" w:hAnsi="仿宋_GB2312" w:eastAsia="仿宋_GB2312"/>
          <w:b w:val="0"/>
          <w:sz w:val="32"/>
        </w:rPr>
        <w:t>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247"/>
        <w:gridCol w:w="963"/>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3,326.25</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16,682.38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16,607.24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9.95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2,410.94</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12,509.58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12,509.58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915.31</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4,172.80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4,097.66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贯彻执行国家有关公路交通运输行业的方针、政策、法规，拟订阿图什市相关交通运输政策并组织实施和监督检查。拟订阿图什市公路交通运输发展规划、中长期计划并监督实施，会同有关部门组织编制阿图什市综合运输体系规划。 </w:t>
            </w:r>
            <w:r>
              <w:rPr>
                <w:rFonts w:ascii="宋体" w:hAnsi="宋体" w:eastAsia="宋体"/>
                <w:sz w:val="16"/>
              </w:rPr>
              <w:br w:type="textWrapping"/>
            </w:r>
            <w:r>
              <w:rPr>
                <w:rFonts w:ascii="宋体" w:hAnsi="宋体" w:eastAsia="宋体"/>
                <w:sz w:val="16"/>
              </w:rPr>
              <w:t xml:space="preserve">机构设置及人员配置：下设2个科室，编制数27，实有人数37人，在职28人，退休9人。 </w:t>
            </w:r>
            <w:r>
              <w:rPr>
                <w:rFonts w:ascii="宋体" w:hAnsi="宋体" w:eastAsia="宋体"/>
                <w:sz w:val="16"/>
              </w:rPr>
              <w:br w:type="textWrapping"/>
            </w:r>
            <w:r>
              <w:rPr>
                <w:rFonts w:ascii="宋体" w:hAnsi="宋体" w:eastAsia="宋体"/>
                <w:sz w:val="16"/>
              </w:rPr>
              <w:t>中长期规划：着力抓好农村公路养护、道路运输市场整治和交通运输安全管理等工作，不断提升交通运输综合能力和水平。提前谋划好重点工作，制定好发展蓝图，</w:t>
            </w:r>
            <w:bookmarkStart w:id="0" w:name="_GoBack"/>
            <w:bookmarkEnd w:id="0"/>
            <w:r>
              <w:rPr>
                <w:rFonts w:ascii="宋体" w:hAnsi="宋体" w:eastAsia="宋体"/>
                <w:sz w:val="16"/>
              </w:rPr>
              <w:t>全力以赴推动我市交通重点项目建设，有效提升运输服务品质和效能，共同奋力推动交通运输事业高质量发展。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16607.24万元，用于保障部门在职28人，退休9人的工资福利、各项补助正常发放及部门单位正常运转，单位预算项目根据年初计划均已完成，着力抓好农村公路养护、道路运输市场整治和交通运输安全管理等工作，不断提升交通运输综合能力和水平，年度任务中完成安全监管执法企业数量128家，参与相关执法培训活动10次，基础设施建设项目数量11个等目标。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交通安全隐患整改率</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安全监管执法企业数量</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参与相关执法培训活动</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基础设施建设项目数量</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实现交通“超载率”控制</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2023年公路及附属设施管理经费项目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30万元，主要用于订阅报刊及广告宣传次数6次，购买生活用品、办公用品及耗材次数4次，保障车辆正常运行数量3辆，保障其他业务工作正常开展期限12个月。通过项目实施，有效保障了单位正常运转，极大提高了</w:t>
            </w:r>
            <w:r>
              <w:rPr>
                <w:rFonts w:hint="eastAsia" w:ascii="宋体" w:hAnsi="宋体"/>
                <w:sz w:val="16"/>
                <w:lang w:eastAsia="zh-CN"/>
              </w:rPr>
              <w:t>本单位</w:t>
            </w:r>
            <w:r>
              <w:rPr>
                <w:rFonts w:ascii="宋体" w:hAnsi="宋体" w:eastAsia="宋体"/>
                <w:sz w:val="16"/>
              </w:rPr>
              <w:t>公共服务能力及工作效率。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30万元，用于订阅报刊及广告宣传次数6次，购买生活用品、办公用品及耗材次数4次，保障车辆正常运行数量3辆，保障其他业务工作正常开展期限12个月；通过实施本项目有效保障了单位正常运转，极大提高了</w:t>
            </w:r>
            <w:r>
              <w:rPr>
                <w:rFonts w:hint="eastAsia" w:ascii="宋体" w:hAnsi="宋体"/>
                <w:sz w:val="16"/>
                <w:lang w:eastAsia="zh-CN"/>
              </w:rPr>
              <w:t>本单位</w:t>
            </w:r>
            <w:r>
              <w:rPr>
                <w:rFonts w:ascii="宋体" w:hAnsi="宋体" w:eastAsia="宋体"/>
                <w:sz w:val="16"/>
              </w:rPr>
              <w:t>公共服务能力及工作效率。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订阅报刊及广告宣传次数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购买生活用品、办公用品及耗材次数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保障车辆正常运行数量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保障其他业务工作正常开展期限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订阅报刊及广告宣传成本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购买生活用品、办公用品及耗材成本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保障车辆正常运行成本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保障其他业务工作正常开展成本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保障农村公路安全畅通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2023年度农村客运补贴资金及城市交通发展奖励资金项目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根据《关于预拨2023年度农村客运补贴资金及城市交通发展奖励资金预算的通知》克财社</w:t>
            </w:r>
            <w:r>
              <w:rPr>
                <w:rFonts w:hint="eastAsia" w:ascii="宋体" w:hAnsi="宋体"/>
                <w:sz w:val="16"/>
                <w:lang w:eastAsia="zh-CN"/>
              </w:rPr>
              <w:t>〔2023〕68号</w:t>
            </w:r>
            <w:r>
              <w:rPr>
                <w:rFonts w:ascii="宋体" w:hAnsi="宋体" w:eastAsia="宋体"/>
                <w:sz w:val="16"/>
              </w:rPr>
              <w:t>文件，通过项目实施，保障单位工作正常运行，改善困难群众生活条件。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预拨2023年度农村客运补贴资金及城市交通发展奖励资金预算的通知》克财社〔2023〕68号文件，下达资金419.69万元，本项目共计支出419.69万元，用于农村客运补贴发放期限12个月；通过实施本项目保障单位工作正常运行，改善困难群众生活条件。</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农村客运补贴发放期限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保障农村公路安全畅通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2024年中央对地方成品油税费改革转移支付资金用于农村公路养护支出项目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171.30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171.30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根据《关于提前下达2024年中央对地方成品税费改革转移支付资金用于农村公路养护支出预算的通知》实施项目，克财建</w:t>
            </w:r>
            <w:r>
              <w:rPr>
                <w:rFonts w:hint="eastAsia" w:ascii="宋体" w:hAnsi="宋体"/>
                <w:sz w:val="16"/>
                <w:lang w:eastAsia="zh-CN"/>
              </w:rPr>
              <w:t>〔2023〕77号</w:t>
            </w:r>
            <w:r>
              <w:rPr>
                <w:rFonts w:ascii="宋体" w:hAnsi="宋体" w:eastAsia="宋体"/>
                <w:sz w:val="16"/>
              </w:rPr>
              <w:t>，用于农村公路日常养护里程数300公里，确保实现“有路必养</w:t>
            </w:r>
            <w:r>
              <w:rPr>
                <w:rFonts w:hint="eastAsia" w:ascii="宋体" w:hAnsi="宋体"/>
                <w:sz w:val="16"/>
                <w:lang w:eastAsia="zh-CN"/>
              </w:rPr>
              <w:t>”“</w:t>
            </w:r>
            <w:r>
              <w:rPr>
                <w:rFonts w:ascii="宋体" w:hAnsi="宋体" w:eastAsia="宋体"/>
                <w:sz w:val="16"/>
              </w:rPr>
              <w:t>养必到位”的管养目标，推动“四好农村路”建设高质量发展。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根据《关于提前下达2024年中央对地方成品税费改革转移支付资金用于农村公路养护支出预算的通知》实施项目，克财建〔2023〕77号，下达资金291万元，本项目共计支出171.3万元，用于农村公路日常养护里程数300公里；通过实施本项目确保实现“有路必养</w:t>
            </w:r>
            <w:r>
              <w:rPr>
                <w:rFonts w:hint="eastAsia" w:ascii="宋体" w:hAnsi="宋体"/>
                <w:sz w:val="16"/>
                <w:lang w:eastAsia="zh-CN"/>
              </w:rPr>
              <w:t>”“</w:t>
            </w:r>
            <w:r>
              <w:rPr>
                <w:rFonts w:ascii="宋体" w:hAnsi="宋体" w:eastAsia="宋体"/>
                <w:sz w:val="16"/>
              </w:rPr>
              <w:t xml:space="preserve">养必到位”的管养目标，推动“四好农村路”建设高质量发展。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农村公路日常养护里程数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建设项目工程质量合格率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建设任务按期完成率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原因：根据实际工程进度进行支出，剩余资金结转至2025年进行支出；措施：尽快项目支付进度，做好项目计划，减少偏差。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对经济发展促进作用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交通建设符合环评审批要求</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2024年度养护项目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项目资金291万元，用于化解以前年度印花税数量1项，缴纳护路员保险期限12个月，发放补偿金数量1项。项目实施后将极大程度地方便居民出行，保障农村公路安全畅通，为</w:t>
            </w:r>
            <w:r>
              <w:rPr>
                <w:rFonts w:hint="eastAsia" w:ascii="宋体" w:hAnsi="宋体"/>
                <w:sz w:val="16"/>
                <w:lang w:eastAsia="zh-CN"/>
              </w:rPr>
              <w:t>加快</w:t>
            </w:r>
            <w:r>
              <w:rPr>
                <w:rFonts w:ascii="宋体" w:hAnsi="宋体" w:eastAsia="宋体"/>
                <w:sz w:val="16"/>
              </w:rPr>
              <w:t xml:space="preserve">推进农业农村现代化提供保障。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84.84万元，用于化解以前年度印花税数量1项，缴纳护路员保险期限12个月，发放补偿金数量1项；通过实施本项目将极大程度地方便居民出行，保障农村公路安全畅通，为加大推进农业农村现代化提供保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化解以前年度印花税数量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缴纳护路员保险期限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发放补偿金数量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保障农村公路安全畅通</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2024年超长期国债支持交通运输领域消费品以旧换新配套资金项目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落实国家和自治区关于《推动大规模设备更新和消费品以旧换新行动方案》《交通运输大规模设备更新行动方案》和《自治区推动大规模设备更新和消费品以旧换新实施方案》要求，本年度下达资金464.9万元，用于老旧营运货车报废更新106辆；通过实施本项目有效推动道路运输行业清洁化、低碳化发展，促进货车行业技术进步和产业发展，为地方产业生产发展提供保障，助力交通运输行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464.9万元，主要用于发放老旧营运货车报废更新补贴，发放补贴车辆106辆；通过实施本项目有效推动道路运输行业清洁化、低碳化发展，促进货车行业技术进步和产业发展，为地方产业生产发展提供保障，助力交通运输行业高质量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老旧营运货车报废及更新数量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申请购置补助车辆的合格率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补助资金规范使用率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老旧报废设备更新时效性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老旧设备改善程度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环境保护成效性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改善服务对象满意度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4"/>
        <w:gridCol w:w="624"/>
        <w:gridCol w:w="624"/>
        <w:gridCol w:w="856"/>
        <w:gridCol w:w="626"/>
        <w:gridCol w:w="626"/>
        <w:gridCol w:w="627"/>
        <w:gridCol w:w="624"/>
        <w:gridCol w:w="629"/>
        <w:gridCol w:w="696"/>
        <w:gridCol w:w="630"/>
        <w:gridCol w:w="615"/>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2024年车辆购置税收入补助地方（第一批）用于普通省道及农村公路建设“以奖代补”资金项目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1,700.25</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1,700.25</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890.19</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1,700.25</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1,700.25</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890.19</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项目总投资1700.25万元，用于改造农村公路，完成“十四五”现代综合交通运输体系发展规划范围内的综合交通，公路等年度建设任务。</w:t>
            </w:r>
          </w:p>
        </w:tc>
        <w:tc>
          <w:tcPr>
            <w:tcW w:w="38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本项目共计支出890.19万元，用于年度全市社会累计改建农村公路里程数76.45公里；通过实施本项目改造农村公路，完成“十四五”现代综合交通运输体系发展规划范围内的综合交通，公路等年度建设任务。</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年度全市社会累计改建农村公路里程数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&gt;=112.43公里</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=76.45公里</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原因：目前项目尚未完工，因此指标存在偏差；措施：加快项目实施进度，减少偏差。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原因：目前项目尚未完工，因此指标存在偏差；措施：加快项目实施进度，减少偏差。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原因：目前项目尚未完工，因此指标存在偏差；措施：加快项目实施进度，减少偏差。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原因：目前项目尚未完工，因此指标存在偏差；措施：加快项目实施进度，减少偏差。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提升基本公共服务水平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实现程度较低</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原因：目前项目尚未完工，因此指标存在偏差；措施：加快项目实施进度，减少偏差。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交通建设符合环评审批要求合格率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2439" w:hRule="atLeast"/>
        </w:trPr>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原因：目前项目尚未完工，因此指标存在偏差；措施：加快项目实施进度，减少偏差。</w:t>
            </w:r>
          </w:p>
        </w:tc>
      </w:tr>
      <w:tr>
        <w:tblPrEx>
          <w:tblLayout w:type="fixed"/>
          <w:tblCellMar>
            <w:top w:w="0" w:type="dxa"/>
            <w:left w:w="108" w:type="dxa"/>
            <w:bottom w:w="0" w:type="dxa"/>
            <w:right w:w="108" w:type="dxa"/>
          </w:tblCellMar>
        </w:tblPrEx>
        <w:tc>
          <w:tcPr>
            <w:tcW w:w="460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49"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自然灾害抢修车辆租赁费项目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项目资金10万元，全部用于自然灾害抢修，项目实施后将极大程度地方便居民出行，保障农村公路安全畅通，为加大推进农业农村现代化提供保障。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采购防灾物资批次5批，自然灾害抢修维修维护期限12个月，因部分支出资料不齐全，资金未拨付；通过实施本项目将极大程度地方便居民出行，保障农村公路安全畅通，为加大推进农业农村现代化提供保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采购防灾物资批次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自然灾害抢修维修维护期限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采购防灾物资成本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其他自然灾害抢修费用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保障农村公路安全畅通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85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阿图什市辖区1923公里等级农村公路技术状况检测评定及114座桥梁评定项目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阿图什市交通运输局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项目资金90万元，对全市1923公里进行等级农村公路全自动化路况技术评定，聘请评定服务公司1家。项目实施后将极大程度地方便居民出行，保障农村公路安全畅通，为</w:t>
            </w:r>
            <w:r>
              <w:rPr>
                <w:rFonts w:hint="eastAsia" w:ascii="宋体" w:hAnsi="宋体"/>
                <w:sz w:val="16"/>
                <w:lang w:eastAsia="zh-CN"/>
              </w:rPr>
              <w:t>加快</w:t>
            </w:r>
            <w:r>
              <w:rPr>
                <w:rFonts w:ascii="宋体" w:hAnsi="宋体" w:eastAsia="宋体"/>
                <w:sz w:val="16"/>
              </w:rPr>
              <w:t xml:space="preserve">推进农业农村现代化提供保障。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本项目已完成农村公路全自动</w:t>
            </w:r>
            <w:r>
              <w:rPr>
                <w:rFonts w:hint="eastAsia" w:ascii="宋体" w:hAnsi="宋体"/>
                <w:sz w:val="16"/>
                <w:lang w:eastAsia="zh-CN"/>
              </w:rPr>
              <w:t>化公</w:t>
            </w:r>
            <w:r>
              <w:rPr>
                <w:rFonts w:ascii="宋体" w:hAnsi="宋体" w:eastAsia="宋体"/>
                <w:sz w:val="16"/>
              </w:rPr>
              <w:t xml:space="preserve">路长度1923公里，聘请评定服务公司数量1家，因部分支出资料不齐全，资金未拨付；通过实施本项目将极大程度地方便居民出行，保障农村公路安全畅通，为加大推进农业农村现代化提供保障。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农村公路全自动化路长度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&gt;=1923公里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原因：资金短缺，未能支付检测评定费用，因此未执行；措施：今后做好项目计划，减少偏差。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聘请评定服务公司数量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原因：资金短缺，未能支付检测评定费用，因此未执行；措施：今后做好项目计划，减少偏差。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路况评定技术合格率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原因：资金短缺，未能支付检测评定费用，因此未执行；措施：今后做好项目计划，减少偏差。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委托任务按时完成率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原因：资金短缺，未能支付检测评定费用，因此未执行；措施：今后做好项目计划，减少偏差。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保障农村公路安全畅通</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原因：资金短缺，未能支付检测评定费用，因此未执行；措施：今后做好项目计划，减少偏差。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原因：资金短缺，未能支付检测评定费用，因此未执行；措施：今后做好项目计划，减少偏差。</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7096AF-E7F8-48DE-89F2-9630006F2EE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558A1065-4FEA-4526-AE7B-5522CD432D10}"/>
  </w:font>
  <w:font w:name="仿宋_GB2312">
    <w:panose1 w:val="02010609030101010101"/>
    <w:charset w:val="86"/>
    <w:family w:val="modern"/>
    <w:pitch w:val="default"/>
    <w:sig w:usb0="00000001" w:usb1="080E0000" w:usb2="00000000" w:usb3="00000000" w:csb0="00040000" w:csb1="00000000"/>
    <w:embedRegular r:id="rId3" w:fontKey="{4AE1DBA7-2EC0-4AB3-B7CA-8C05CCAC0791}"/>
  </w:font>
  <w:font w:name="楷体_GB2312">
    <w:panose1 w:val="02010609030101010101"/>
    <w:charset w:val="86"/>
    <w:family w:val="auto"/>
    <w:pitch w:val="default"/>
    <w:sig w:usb0="00000001" w:usb1="080E0000" w:usb2="00000000" w:usb3="00000000" w:csb0="00040000" w:csb1="00000000"/>
    <w:embedRegular r:id="rId4" w:fontKey="{FDFEE81D-D9AE-463F-AC4C-292EE7BA19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585C9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677758"/>
    <w:rsid w:val="1DAF458D"/>
    <w:rsid w:val="1E086ACE"/>
    <w:rsid w:val="1E4B5CA5"/>
    <w:rsid w:val="1EAA4A5F"/>
    <w:rsid w:val="1F587A0B"/>
    <w:rsid w:val="2064678E"/>
    <w:rsid w:val="20BC0B75"/>
    <w:rsid w:val="20DD6197"/>
    <w:rsid w:val="21F317F2"/>
    <w:rsid w:val="2241392C"/>
    <w:rsid w:val="23BC04D2"/>
    <w:rsid w:val="25275618"/>
    <w:rsid w:val="266A4E9F"/>
    <w:rsid w:val="27CE017C"/>
    <w:rsid w:val="27CF2642"/>
    <w:rsid w:val="282459E2"/>
    <w:rsid w:val="29116777"/>
    <w:rsid w:val="29456E41"/>
    <w:rsid w:val="2A053397"/>
    <w:rsid w:val="2A444FB1"/>
    <w:rsid w:val="2A6064E2"/>
    <w:rsid w:val="2C1965E9"/>
    <w:rsid w:val="2D1136DF"/>
    <w:rsid w:val="2DAE0E44"/>
    <w:rsid w:val="2FD27414"/>
    <w:rsid w:val="313F1D52"/>
    <w:rsid w:val="318029AB"/>
    <w:rsid w:val="31C63837"/>
    <w:rsid w:val="326F0A17"/>
    <w:rsid w:val="3277581B"/>
    <w:rsid w:val="3752464E"/>
    <w:rsid w:val="38006E2C"/>
    <w:rsid w:val="3914510A"/>
    <w:rsid w:val="3B1220C9"/>
    <w:rsid w:val="3D5275AC"/>
    <w:rsid w:val="3EA7725F"/>
    <w:rsid w:val="3EC014A1"/>
    <w:rsid w:val="40420B44"/>
    <w:rsid w:val="40834692"/>
    <w:rsid w:val="423A32B2"/>
    <w:rsid w:val="423C0CB4"/>
    <w:rsid w:val="427B5743"/>
    <w:rsid w:val="42E64542"/>
    <w:rsid w:val="464B7E04"/>
    <w:rsid w:val="464F7E64"/>
    <w:rsid w:val="46901EEE"/>
    <w:rsid w:val="469C74D2"/>
    <w:rsid w:val="47445515"/>
    <w:rsid w:val="47686BA4"/>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AC6C49"/>
    <w:rsid w:val="71473612"/>
    <w:rsid w:val="718F7F65"/>
    <w:rsid w:val="73423603"/>
    <w:rsid w:val="737A5923"/>
    <w:rsid w:val="73DE4104"/>
    <w:rsid w:val="73FB6630"/>
    <w:rsid w:val="74CE04EC"/>
    <w:rsid w:val="74E76DCD"/>
    <w:rsid w:val="76660D7C"/>
    <w:rsid w:val="77ED091B"/>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8645</Words>
  <Characters>10115</Characters>
  <Lines>0</Lines>
  <Paragraphs>0</Paragraphs>
  <TotalTime>18</TotalTime>
  <ScaleCrop>false</ScaleCrop>
  <LinksUpToDate>false</LinksUpToDate>
  <CharactersWithSpaces>10126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2025-09-18T05:29:07Z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