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方正小标宋_GBK" w:hAnsi="黑体" w:eastAsia="方正小标宋_GBK" w:cs="仿宋_GB2312"/>
          <w:bCs/>
          <w:color w:val="auto"/>
          <w:kern w:val="0"/>
          <w:sz w:val="44"/>
          <w:szCs w:val="44"/>
          <w:highlight w:val="none"/>
          <w:lang w:eastAsia="zh-CN"/>
        </w:rPr>
      </w:pPr>
      <w:r>
        <w:rPr>
          <w:rFonts w:hint="eastAsia" w:ascii="方正小标宋_GBK" w:hAnsi="黑体" w:eastAsia="方正小标宋_GBK" w:cs="仿宋_GB2312"/>
          <w:bCs/>
          <w:color w:val="auto"/>
          <w:kern w:val="0"/>
          <w:sz w:val="44"/>
          <w:szCs w:val="44"/>
          <w:highlight w:val="none"/>
          <w:lang w:eastAsia="zh-CN"/>
        </w:rPr>
        <w:t>2024年车辆购置税收入补助地方（第一批）</w:t>
      </w:r>
    </w:p>
    <w:p>
      <w:pPr>
        <w:spacing w:line="560" w:lineRule="exact"/>
        <w:jc w:val="center"/>
        <w:rPr>
          <w:rFonts w:hint="eastAsia" w:ascii="方正小标宋_GBK" w:hAnsi="黑体" w:eastAsia="方正小标宋_GBK" w:cs="仿宋_GB2312"/>
          <w:bCs/>
          <w:color w:val="auto"/>
          <w:kern w:val="0"/>
          <w:sz w:val="44"/>
          <w:szCs w:val="44"/>
          <w:highlight w:val="none"/>
          <w:lang w:eastAsia="zh-CN"/>
        </w:rPr>
      </w:pPr>
      <w:r>
        <w:rPr>
          <w:rFonts w:hint="eastAsia" w:ascii="方正小标宋_GBK" w:hAnsi="黑体" w:eastAsia="方正小标宋_GBK" w:cs="仿宋_GB2312"/>
          <w:bCs/>
          <w:color w:val="auto"/>
          <w:kern w:val="0"/>
          <w:sz w:val="44"/>
          <w:szCs w:val="44"/>
          <w:highlight w:val="none"/>
          <w:lang w:eastAsia="zh-CN"/>
        </w:rPr>
        <w:t>用于普通省道及农村公路建设</w:t>
      </w:r>
    </w:p>
    <w:p>
      <w:pPr>
        <w:spacing w:line="560" w:lineRule="exact"/>
        <w:jc w:val="center"/>
        <w:rPr>
          <w:rFonts w:hint="eastAsia" w:ascii="方正小标宋_GBK" w:hAnsi="黑体" w:eastAsia="方正小标宋_GBK" w:cs="仿宋_GB2312"/>
          <w:bCs/>
          <w:color w:val="auto"/>
          <w:kern w:val="0"/>
          <w:sz w:val="44"/>
          <w:szCs w:val="44"/>
          <w:highlight w:val="none"/>
          <w:lang w:eastAsia="zh-CN"/>
        </w:rPr>
      </w:pPr>
      <w:r>
        <w:rPr>
          <w:rFonts w:hint="eastAsia" w:ascii="方正小标宋_GBK" w:hAnsi="黑体" w:eastAsia="方正小标宋_GBK" w:cs="仿宋_GB2312"/>
          <w:bCs/>
          <w:color w:val="auto"/>
          <w:kern w:val="0"/>
          <w:sz w:val="44"/>
          <w:szCs w:val="44"/>
          <w:highlight w:val="none"/>
          <w:lang w:eastAsia="zh-CN"/>
        </w:rPr>
        <w:t>“以奖代补”资金项目</w:t>
      </w: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rPr>
        <w:t>支出绩效评价报告</w:t>
      </w:r>
    </w:p>
    <w:p>
      <w:pPr>
        <w:spacing w:line="560" w:lineRule="exact"/>
        <w:jc w:val="center"/>
        <w:rPr>
          <w:rFonts w:hint="eastAsia" w:ascii="方正小标宋_GBK" w:hAnsi="黑体" w:eastAsia="方正小标宋_GBK" w:cs="仿宋_GB2312"/>
          <w:color w:val="auto"/>
          <w:kern w:val="0"/>
          <w:sz w:val="44"/>
          <w:szCs w:val="44"/>
          <w:highlight w:val="none"/>
        </w:rPr>
      </w:pPr>
    </w:p>
    <w:p>
      <w:pPr>
        <w:spacing w:line="560" w:lineRule="exact"/>
        <w:jc w:val="center"/>
        <w:rPr>
          <w:rFonts w:hint="eastAsia" w:ascii="方正小标宋_GBK" w:hAnsi="黑体" w:eastAsia="方正小标宋_GBK" w:cs="仿宋_GB2312"/>
          <w:bCs/>
          <w:color w:val="auto"/>
          <w:sz w:val="44"/>
          <w:szCs w:val="44"/>
          <w:highlight w:val="none"/>
        </w:rPr>
      </w:pPr>
      <w:r>
        <w:rPr>
          <w:rFonts w:hint="eastAsia" w:ascii="方正小标宋_GBK" w:hAnsi="黑体" w:eastAsia="方正小标宋_GBK" w:cs="仿宋_GB2312"/>
          <w:bCs/>
          <w:color w:val="auto"/>
          <w:sz w:val="44"/>
          <w:szCs w:val="44"/>
          <w:highlight w:val="none"/>
        </w:rPr>
        <w:t>（2024年度）</w:t>
      </w: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both"/>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ind w:left="1600" w:hanging="1600" w:hangingChars="500"/>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项目名称：2024年车辆购置税收入补助地方（第一批）用于</w:t>
      </w:r>
    </w:p>
    <w:p>
      <w:pPr>
        <w:spacing w:line="560" w:lineRule="exact"/>
        <w:ind w:left="1590" w:leftChars="530" w:firstLine="0" w:firstLineChars="0"/>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普通省道及农村公路建设“以奖代补”资金项目</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项目单位：阿图什市交通运输局</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主管部门：阿图什市交通运输局</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p>
    <w:p>
      <w:pPr>
        <w:spacing w:line="560" w:lineRule="exact"/>
        <w:jc w:val="center"/>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202</w:t>
      </w:r>
      <w:r>
        <w:rPr>
          <w:rFonts w:ascii="黑体" w:hAnsi="黑体" w:eastAsia="黑体" w:cs="仿宋_GB2312"/>
          <w:color w:val="auto"/>
          <w:sz w:val="32"/>
          <w:szCs w:val="32"/>
          <w:highlight w:val="none"/>
        </w:rPr>
        <w:t>5</w:t>
      </w:r>
      <w:r>
        <w:rPr>
          <w:rFonts w:hint="eastAsia" w:ascii="黑体" w:hAnsi="黑体" w:eastAsia="黑体" w:cs="仿宋_GB2312"/>
          <w:color w:val="auto"/>
          <w:sz w:val="32"/>
          <w:szCs w:val="32"/>
          <w:highlight w:val="none"/>
        </w:rPr>
        <w:t>年</w:t>
      </w:r>
      <w:r>
        <w:rPr>
          <w:rFonts w:hint="eastAsia" w:ascii="黑体" w:hAnsi="黑体" w:eastAsia="黑体" w:cs="仿宋_GB2312"/>
          <w:color w:val="auto"/>
          <w:sz w:val="32"/>
          <w:szCs w:val="32"/>
          <w:highlight w:val="none"/>
          <w:lang w:val="en-US" w:eastAsia="zh-CN"/>
        </w:rPr>
        <w:t>4</w:t>
      </w:r>
      <w:r>
        <w:rPr>
          <w:rFonts w:hint="eastAsia" w:ascii="黑体" w:hAnsi="黑体" w:eastAsia="黑体" w:cs="仿宋_GB2312"/>
          <w:color w:val="auto"/>
          <w:sz w:val="32"/>
          <w:szCs w:val="32"/>
          <w:highlight w:val="none"/>
        </w:rPr>
        <w:t>月</w:t>
      </w:r>
      <w:r>
        <w:rPr>
          <w:rFonts w:hint="eastAsia" w:ascii="黑体" w:hAnsi="黑体" w:eastAsia="黑体" w:cs="仿宋_GB2312"/>
          <w:color w:val="auto"/>
          <w:sz w:val="32"/>
          <w:szCs w:val="32"/>
          <w:highlight w:val="none"/>
          <w:lang w:val="en-US" w:eastAsia="zh-CN"/>
        </w:rPr>
        <w:t>30</w:t>
      </w:r>
      <w:r>
        <w:rPr>
          <w:rFonts w:hint="eastAsia" w:ascii="黑体" w:hAnsi="黑体" w:eastAsia="黑体" w:cs="仿宋_GB2312"/>
          <w:color w:val="auto"/>
          <w:sz w:val="32"/>
          <w:szCs w:val="32"/>
          <w:highlight w:val="none"/>
        </w:rPr>
        <w:t>日</w:t>
      </w:r>
    </w:p>
    <w:p>
      <w:pPr>
        <w:spacing w:line="560" w:lineRule="exact"/>
        <w:rPr>
          <w:rFonts w:hint="eastAsia" w:ascii="仿宋_GB2312" w:hAnsi="仿宋_GB2312" w:cs="仿宋_GB2312"/>
          <w:color w:val="auto"/>
          <w:szCs w:val="30"/>
          <w:highlight w:val="none"/>
        </w:rPr>
      </w:pPr>
    </w:p>
    <w:p>
      <w:pPr>
        <w:snapToGrid w:val="0"/>
        <w:spacing w:line="560" w:lineRule="exact"/>
        <w:jc w:val="center"/>
        <w:rPr>
          <w:rFonts w:hint="eastAsia" w:ascii="方正小标宋_GBK" w:hAnsi="仿宋_GB2312" w:eastAsia="方正小标宋_GBK" w:cs="仿宋_GB2312"/>
          <w:bCs/>
          <w:color w:val="auto"/>
          <w:sz w:val="44"/>
          <w:szCs w:val="44"/>
          <w:highlight w:val="none"/>
          <w:lang w:eastAsia="zh-CN"/>
        </w:rPr>
      </w:pPr>
      <w:r>
        <w:rPr>
          <w:rFonts w:hint="eastAsia" w:ascii="方正小标宋_GBK" w:hAnsi="仿宋_GB2312" w:eastAsia="方正小标宋_GBK" w:cs="仿宋_GB2312"/>
          <w:bCs/>
          <w:color w:val="auto"/>
          <w:sz w:val="44"/>
          <w:szCs w:val="44"/>
          <w:highlight w:val="none"/>
          <w:lang w:eastAsia="zh-CN"/>
        </w:rPr>
        <w:t>2024年车辆购置税收入补助地方（第一批）</w:t>
      </w:r>
    </w:p>
    <w:p>
      <w:pPr>
        <w:snapToGrid w:val="0"/>
        <w:spacing w:line="560" w:lineRule="exact"/>
        <w:jc w:val="center"/>
        <w:rPr>
          <w:rFonts w:hint="eastAsia" w:ascii="方正小标宋_GBK" w:hAnsi="仿宋_GB2312" w:eastAsia="方正小标宋_GBK" w:cs="仿宋_GB2312"/>
          <w:bCs/>
          <w:color w:val="auto"/>
          <w:sz w:val="44"/>
          <w:szCs w:val="44"/>
          <w:highlight w:val="none"/>
          <w:lang w:eastAsia="zh-CN"/>
        </w:rPr>
      </w:pPr>
      <w:r>
        <w:rPr>
          <w:rFonts w:hint="eastAsia" w:ascii="方正小标宋_GBK" w:hAnsi="仿宋_GB2312" w:eastAsia="方正小标宋_GBK" w:cs="仿宋_GB2312"/>
          <w:bCs/>
          <w:color w:val="auto"/>
          <w:sz w:val="44"/>
          <w:szCs w:val="44"/>
          <w:highlight w:val="none"/>
          <w:lang w:eastAsia="zh-CN"/>
        </w:rPr>
        <w:t>用于普通省道及农村公路建设</w:t>
      </w:r>
    </w:p>
    <w:p>
      <w:pPr>
        <w:snapToGrid w:val="0"/>
        <w:spacing w:line="560" w:lineRule="exact"/>
        <w:jc w:val="center"/>
        <w:rPr>
          <w:rFonts w:hint="eastAsia" w:ascii="方正小标宋_GBK" w:hAnsi="仿宋_GB2312" w:eastAsia="方正小标宋_GBK" w:cs="仿宋_GB2312"/>
          <w:bCs/>
          <w:color w:val="auto"/>
          <w:sz w:val="44"/>
          <w:szCs w:val="44"/>
          <w:highlight w:val="none"/>
          <w:lang w:eastAsia="zh-CN"/>
        </w:rPr>
      </w:pPr>
      <w:r>
        <w:rPr>
          <w:rFonts w:hint="eastAsia" w:ascii="方正小标宋_GBK" w:hAnsi="仿宋_GB2312" w:eastAsia="方正小标宋_GBK" w:cs="仿宋_GB2312"/>
          <w:bCs/>
          <w:color w:val="auto"/>
          <w:sz w:val="44"/>
          <w:szCs w:val="44"/>
          <w:highlight w:val="none"/>
          <w:lang w:eastAsia="zh-CN"/>
        </w:rPr>
        <w:t>“以奖代补”资金项目</w:t>
      </w:r>
    </w:p>
    <w:p>
      <w:pPr>
        <w:snapToGrid w:val="0"/>
        <w:spacing w:line="560" w:lineRule="exact"/>
        <w:jc w:val="center"/>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rPr>
        <w:t>支出绩效评价报告</w:t>
      </w:r>
    </w:p>
    <w:p>
      <w:pPr>
        <w:snapToGrid w:val="0"/>
        <w:spacing w:line="560" w:lineRule="exact"/>
        <w:jc w:val="center"/>
        <w:rPr>
          <w:rFonts w:hint="eastAsia" w:ascii="仿宋_GB2312" w:hAnsi="仿宋_GB2312" w:cs="仿宋_GB2312"/>
          <w:color w:val="auto"/>
          <w:szCs w:val="30"/>
          <w:highlight w:val="none"/>
        </w:rPr>
      </w:pPr>
    </w:p>
    <w:p>
      <w:pPr>
        <w:snapToGrid w:val="0"/>
        <w:spacing w:line="560" w:lineRule="exact"/>
        <w:ind w:firstLine="640" w:firstLineChars="200"/>
        <w:rPr>
          <w:rFonts w:hint="eastAsia" w:ascii="黑体" w:hAnsi="黑体" w:eastAsia="黑体" w:cs="仿宋_GB2312"/>
          <w:bCs/>
          <w:color w:val="auto"/>
          <w:sz w:val="32"/>
          <w:szCs w:val="32"/>
          <w:highlight w:val="none"/>
        </w:rPr>
      </w:pPr>
      <w:r>
        <w:rPr>
          <w:rFonts w:hint="eastAsia" w:ascii="黑体" w:hAnsi="黑体" w:eastAsia="黑体" w:cs="仿宋_GB2312"/>
          <w:bCs/>
          <w:color w:val="auto"/>
          <w:sz w:val="32"/>
          <w:szCs w:val="32"/>
          <w:highlight w:val="none"/>
        </w:rPr>
        <w:t>一、基本情况</w:t>
      </w:r>
    </w:p>
    <w:p>
      <w:pPr>
        <w:snapToGrid w:val="0"/>
        <w:spacing w:line="560" w:lineRule="exact"/>
        <w:ind w:firstLine="643" w:firstLineChars="200"/>
        <w:outlineLvl w:val="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（一）项目概况</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1．项目背景</w:t>
      </w:r>
    </w:p>
    <w:p>
      <w:pPr>
        <w:snapToGrid w:val="0"/>
        <w:spacing w:line="560" w:lineRule="exact"/>
        <w:ind w:firstLine="800" w:firstLineChars="250"/>
        <w:outlineLvl w:val="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农村公路作为农村基础设施的重要组成部分，对于促进农村经济社会发展、提高农民生活水平具有重要意义。为加快农村公路建设步伐，国家推出了以奖代补政策，通过提供资金补助的方式，激励各地积极投入农村公路建设。“以奖代补”方式是落实交通运输领域中央</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val="en-US" w:eastAsia="zh-CN"/>
        </w:rPr>
        <w:t>自治区</w:t>
      </w:r>
      <w:r>
        <w:rPr>
          <w:rFonts w:hint="eastAsia" w:ascii="仿宋_GB2312" w:hAnsi="仿宋_GB2312" w:cs="仿宋_GB2312"/>
          <w:color w:val="auto"/>
          <w:sz w:val="32"/>
          <w:szCs w:val="32"/>
          <w:highlight w:val="none"/>
          <w:lang w:eastAsia="zh-CN"/>
        </w:rPr>
        <w:t>和</w:t>
      </w:r>
      <w:r>
        <w:rPr>
          <w:rFonts w:hint="eastAsia" w:ascii="仿宋_GB2312" w:hAnsi="仿宋_GB2312" w:cs="仿宋_GB2312"/>
          <w:color w:val="auto"/>
          <w:sz w:val="32"/>
          <w:szCs w:val="32"/>
          <w:highlight w:val="none"/>
        </w:rPr>
        <w:t>地方财政事权和支出责任划分改革要求，优化车辆购置税收入补助地方资金对普通省道和农村公路支持方式的重要举措，有利于强化资金全过程预算绩效管理，提高投资精准性，引导地方加大养护管理投入，推动普通省道和农村公路发展。</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2．主要内容及实施情况</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（1）主要内容</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项目实施内容：</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根据《关于提前下达2024年车辆购置税收入补助地方（第一批）用于普通省道及农村公路建设“以奖代补”资金预算的通知》实施本项目，项目总投资1700.25万元，用于改造农村公路，完成“十四五”现代综合交通运输体系发展规划范围内的综合交通，公路等年度建设任务。</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（2）实施情况：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实施主体：本项目的主管部门为阿图什市交通运输局,实施单位为阿图什市交通运输局，主要职责：项目实施过程中严格按照实施方案进行实施并及时进行监督管理，项目实施后进行及时验收及后期管理。</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实施时间：202</w:t>
      </w:r>
      <w:r>
        <w:rPr>
          <w:rFonts w:ascii="仿宋_GB2312" w:hAnsi="仿宋_GB2312" w:cs="仿宋_GB2312"/>
          <w:bCs/>
          <w:color w:val="auto"/>
          <w:sz w:val="32"/>
          <w:szCs w:val="30"/>
          <w:highlight w:val="none"/>
        </w:rPr>
        <w:t>4</w:t>
      </w:r>
      <w:r>
        <w:rPr>
          <w:rFonts w:hint="eastAsia" w:ascii="仿宋_GB2312" w:hAnsi="仿宋_GB2312" w:cs="仿宋_GB2312"/>
          <w:bCs/>
          <w:color w:val="auto"/>
          <w:sz w:val="32"/>
          <w:szCs w:val="30"/>
          <w:highlight w:val="none"/>
        </w:rPr>
        <w:t>年</w:t>
      </w:r>
      <w:r>
        <w:rPr>
          <w:rFonts w:hint="eastAsia" w:ascii="仿宋_GB2312" w:hAnsi="仿宋_GB2312" w:cs="仿宋_GB2312"/>
          <w:bCs/>
          <w:color w:val="auto"/>
          <w:sz w:val="32"/>
          <w:szCs w:val="30"/>
          <w:highlight w:val="none"/>
          <w:lang w:val="en-US" w:eastAsia="zh-CN"/>
        </w:rPr>
        <w:t>1</w:t>
      </w:r>
      <w:r>
        <w:rPr>
          <w:rFonts w:hint="eastAsia" w:ascii="仿宋_GB2312" w:hAnsi="仿宋_GB2312" w:cs="仿宋_GB2312"/>
          <w:bCs/>
          <w:color w:val="auto"/>
          <w:sz w:val="32"/>
          <w:szCs w:val="30"/>
          <w:highlight w:val="none"/>
        </w:rPr>
        <w:t>月-</w:t>
      </w:r>
      <w:r>
        <w:rPr>
          <w:rFonts w:hint="eastAsia" w:ascii="仿宋_GB2312" w:hAnsi="仿宋_GB2312" w:cs="仿宋_GB2312"/>
          <w:bCs/>
          <w:color w:val="auto"/>
          <w:sz w:val="32"/>
          <w:szCs w:val="30"/>
          <w:highlight w:val="none"/>
          <w:lang w:val="en-US" w:eastAsia="zh-CN"/>
        </w:rPr>
        <w:t>12</w:t>
      </w:r>
      <w:r>
        <w:rPr>
          <w:rFonts w:hint="eastAsia" w:ascii="仿宋_GB2312" w:hAnsi="仿宋_GB2312" w:cs="仿宋_GB2312"/>
          <w:bCs/>
          <w:color w:val="auto"/>
          <w:sz w:val="32"/>
          <w:szCs w:val="30"/>
          <w:highlight w:val="none"/>
        </w:rPr>
        <w:t>月</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实施结果：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color w:val="auto"/>
          <w:sz w:val="32"/>
          <w:szCs w:val="32"/>
          <w:highlight w:val="none"/>
        </w:rPr>
        <w:t>项目实施前进行充分调研，并制定项目实施方案，项目实施过程中严格按照实施方案进行实施并及时进行监督管理，项目实施后进行及时验收及后期维护</w:t>
      </w:r>
      <w:r>
        <w:rPr>
          <w:rFonts w:hint="eastAsia" w:ascii="仿宋_GB2312" w:hAnsi="仿宋_GB2312" w:cs="仿宋_GB2312"/>
          <w:bCs/>
          <w:color w:val="auto"/>
          <w:sz w:val="32"/>
          <w:szCs w:val="30"/>
          <w:highlight w:val="none"/>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3．资金投入和使用情况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bCs w:val="0"/>
          <w:color w:val="auto"/>
          <w:spacing w:val="-4"/>
          <w:sz w:val="32"/>
          <w:szCs w:val="30"/>
          <w:highlight w:val="none"/>
        </w:rPr>
      </w:pPr>
      <w:r>
        <w:rPr>
          <w:rStyle w:val="11"/>
          <w:rFonts w:hint="eastAsia" w:ascii="仿宋_GB2312" w:hAnsi="仿宋_GB2312" w:cs="仿宋_GB2312"/>
          <w:b w:val="0"/>
          <w:bCs w:val="0"/>
          <w:color w:val="auto"/>
          <w:spacing w:val="-4"/>
          <w:sz w:val="32"/>
          <w:szCs w:val="30"/>
          <w:highlight w:val="none"/>
        </w:rPr>
        <w:t>资金投入情况：本项目总投资</w:t>
      </w:r>
      <w:r>
        <w:rPr>
          <w:rStyle w:val="11"/>
          <w:rFonts w:hint="eastAsia" w:ascii="仿宋_GB2312" w:hAnsi="仿宋_GB2312" w:cs="仿宋_GB2312"/>
          <w:b w:val="0"/>
          <w:bCs w:val="0"/>
          <w:color w:val="auto"/>
          <w:spacing w:val="-4"/>
          <w:sz w:val="32"/>
          <w:szCs w:val="30"/>
          <w:highlight w:val="none"/>
          <w:lang w:val="en-US" w:eastAsia="zh-CN"/>
        </w:rPr>
        <w:t>1700.25</w:t>
      </w:r>
      <w:r>
        <w:rPr>
          <w:rStyle w:val="11"/>
          <w:rFonts w:hint="eastAsia" w:ascii="仿宋_GB2312" w:hAnsi="仿宋_GB2312" w:cs="仿宋_GB2312"/>
          <w:b w:val="0"/>
          <w:bCs w:val="0"/>
          <w:color w:val="auto"/>
          <w:spacing w:val="-4"/>
          <w:sz w:val="32"/>
          <w:szCs w:val="30"/>
          <w:highlight w:val="none"/>
        </w:rPr>
        <w:t>万元，资金来源为自治区专项资金。</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color w:val="auto"/>
          <w:spacing w:val="-4"/>
          <w:sz w:val="32"/>
          <w:szCs w:val="30"/>
          <w:highlight w:val="none"/>
        </w:rPr>
      </w:pPr>
      <w:r>
        <w:rPr>
          <w:rStyle w:val="11"/>
          <w:rFonts w:hint="eastAsia" w:ascii="仿宋_GB2312" w:hAnsi="仿宋_GB2312" w:cs="仿宋_GB2312"/>
          <w:b w:val="0"/>
          <w:color w:val="auto"/>
          <w:spacing w:val="-4"/>
          <w:sz w:val="32"/>
          <w:szCs w:val="30"/>
          <w:highlight w:val="none"/>
        </w:rPr>
        <w:t>资金使用情况：根据项目实施情况，项目资金实际支付</w:t>
      </w:r>
      <w:r>
        <w:rPr>
          <w:rStyle w:val="11"/>
          <w:rFonts w:hint="eastAsia" w:ascii="仿宋_GB2312" w:hAnsi="仿宋_GB2312" w:cs="仿宋_GB2312"/>
          <w:b w:val="0"/>
          <w:color w:val="auto"/>
          <w:spacing w:val="-4"/>
          <w:sz w:val="32"/>
          <w:szCs w:val="30"/>
          <w:highlight w:val="none"/>
          <w:lang w:val="en-US" w:eastAsia="zh-CN"/>
        </w:rPr>
        <w:t>890.19</w:t>
      </w:r>
      <w:r>
        <w:rPr>
          <w:rStyle w:val="11"/>
          <w:rFonts w:hint="eastAsia" w:ascii="仿宋_GB2312" w:hAnsi="仿宋_GB2312" w:cs="仿宋_GB2312"/>
          <w:b w:val="0"/>
          <w:color w:val="auto"/>
          <w:spacing w:val="-4"/>
          <w:sz w:val="32"/>
          <w:szCs w:val="30"/>
          <w:highlight w:val="none"/>
        </w:rPr>
        <w:t>万元，资金执行率达到</w:t>
      </w:r>
      <w:r>
        <w:rPr>
          <w:rStyle w:val="11"/>
          <w:rFonts w:hint="eastAsia" w:ascii="仿宋_GB2312" w:hAnsi="仿宋_GB2312" w:cs="仿宋_GB2312"/>
          <w:b w:val="0"/>
          <w:color w:val="auto"/>
          <w:spacing w:val="-4"/>
          <w:sz w:val="32"/>
          <w:szCs w:val="30"/>
          <w:highlight w:val="none"/>
          <w:lang w:val="en-US" w:eastAsia="zh-CN"/>
        </w:rPr>
        <w:t>52.4</w:t>
      </w:r>
      <w:r>
        <w:rPr>
          <w:rStyle w:val="11"/>
          <w:rFonts w:hint="eastAsia" w:ascii="仿宋_GB2312" w:hAnsi="仿宋_GB2312" w:cs="仿宋_GB2312"/>
          <w:b w:val="0"/>
          <w:color w:val="auto"/>
          <w:spacing w:val="-4"/>
          <w:sz w:val="32"/>
          <w:szCs w:val="30"/>
          <w:highlight w:val="none"/>
        </w:rPr>
        <w:t>%。具体使用情况如下：</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普通省道及农村公路建设“以奖代补”</w:t>
      </w:r>
      <w:r>
        <w:rPr>
          <w:rStyle w:val="11"/>
          <w:rFonts w:hint="eastAsia" w:ascii="仿宋_GB2312"/>
          <w:b w:val="0"/>
          <w:color w:val="auto"/>
          <w:spacing w:val="-4"/>
          <w:sz w:val="32"/>
          <w:highlight w:val="none"/>
          <w:lang w:val="en-US" w:eastAsia="zh-CN"/>
        </w:rPr>
        <w:t>成本：890.19万元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3" w:firstLineChars="250"/>
        <w:jc w:val="left"/>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（二）项目绩效目标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contextualSpacing/>
        <w:rPr>
          <w:rFonts w:hint="eastAsia" w:ascii="仿宋_GB2312" w:hAnsi="仿宋" w:cs="宋体"/>
          <w:color w:val="auto"/>
          <w:sz w:val="32"/>
          <w:szCs w:val="32"/>
          <w:highlight w:val="none"/>
        </w:rPr>
      </w:pPr>
      <w:r>
        <w:rPr>
          <w:rFonts w:hint="eastAsia" w:ascii="仿宋_GB2312" w:hAnsi="仿宋_GB2312" w:cs="仿宋_GB2312"/>
          <w:color w:val="auto"/>
          <w:sz w:val="32"/>
          <w:highlight w:val="none"/>
        </w:rPr>
        <w:t>年度总体目标为：根据《关于提前下达2024年车辆购置税收入补助地方（第一批）用于普通省道及农村公路建设“以奖代补”资金预算的通知》实施本项目，项目总投资1700.25万元，用于改造农村公路，完成“十四五”现代综合交通运输体系发展规划范围内的综合交通，公路等年度建设任务。</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黑体" w:hAnsi="黑体" w:eastAsia="黑体" w:cs="仿宋_GB2312"/>
          <w:bCs/>
          <w:color w:val="auto"/>
          <w:sz w:val="32"/>
          <w:highlight w:val="none"/>
        </w:rPr>
      </w:pPr>
      <w:r>
        <w:rPr>
          <w:rFonts w:hint="eastAsia" w:ascii="黑体" w:hAnsi="黑体" w:eastAsia="黑体" w:cs="仿宋_GB2312"/>
          <w:bCs/>
          <w:color w:val="auto"/>
          <w:sz w:val="32"/>
          <w:highlight w:val="none"/>
        </w:rPr>
        <w:t>二、绩效评价工作开展情况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（一）绩效评价目的、对象和范围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 xml:space="preserve"> 1．绩效评价目的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本次绩效评价遵循财政部《项目支出绩效评价管理办法》（财预〔2020〕10号）和自治区财政厅</w:t>
      </w:r>
      <w:r>
        <w:rPr>
          <w:rFonts w:hint="eastAsia" w:ascii="仿宋_GB2312" w:hAnsi="仿宋_GB2312" w:cs="仿宋_GB2312"/>
          <w:color w:val="auto"/>
          <w:kern w:val="0"/>
          <w:sz w:val="32"/>
          <w:szCs w:val="32"/>
          <w:highlight w:val="none"/>
          <w:shd w:val="clear" w:color="auto" w:fill="FFFFFF"/>
        </w:rPr>
        <w:t>《自治区财政支出绩效评价管理暂行办法》（新财预〔2018〕189号）</w:t>
      </w:r>
      <w:r>
        <w:rPr>
          <w:rFonts w:hint="eastAsia" w:ascii="仿宋_GB2312" w:hAnsi="仿宋_GB2312" w:cs="仿宋_GB2312"/>
          <w:color w:val="auto"/>
          <w:sz w:val="32"/>
          <w:szCs w:val="32"/>
          <w:highlight w:val="none"/>
        </w:rPr>
        <w:t>等相关政策文件与规定，绩效评价旨在评价本项目前期审批、实施过程及实施效果，促进预算管理不断完善，加快绩效目标的实现，保证财政资金有效、合理使用，具体绩效评价的目的细分如下：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一是：通过部门项目支出绩效评价，进一步严格落实《中华人民共和国预算法》以及党中央、国务院关于加强预算绩效管理的指示精神，建立健全“花钱必问效、无效必问责”的绩效预算管理机制，提升财政资金的使用效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2．绩效评价对象</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w:t>
      </w:r>
      <w:r>
        <w:rPr>
          <w:rFonts w:hint="eastAsia" w:ascii="仿宋_GB2312" w:hAnsi="仿宋_GB2312" w:cs="仿宋_GB2312"/>
          <w:color w:val="auto"/>
          <w:sz w:val="32"/>
          <w:szCs w:val="32"/>
          <w:highlight w:val="none"/>
          <w:lang w:eastAsia="zh-CN"/>
        </w:rPr>
        <w:t>2024年车辆购置税收入补助地方（第一批）用于普通省道及农村公路建设“以奖代补”资金项目</w:t>
      </w:r>
      <w:r>
        <w:rPr>
          <w:rFonts w:hint="eastAsia" w:ascii="仿宋_GB2312" w:hAnsi="仿宋_GB2312" w:cs="仿宋_GB2312"/>
          <w:color w:val="auto"/>
          <w:sz w:val="32"/>
          <w:szCs w:val="32"/>
          <w:highlight w:val="none"/>
        </w:rPr>
        <w:t>从预算编制合理性、资金使用合规性、项目管理的规范性、实施情况、总体绩效目标、各项绩效指标完成情况以及预算执行情况进行科学性评价。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3．绩效评价范围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本次评价从项目决策（包括绩效目标、决策过程）、项目管理（包括项目资金、项目实施）、项目产出（包括项目产出数量、产出质量、产出时效和产出成本）项目效益四个维度进行评价。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color w:val="auto"/>
          <w:sz w:val="32"/>
          <w:highlight w:val="none"/>
        </w:rPr>
      </w:pPr>
      <w:r>
        <w:rPr>
          <w:rFonts w:hint="eastAsia" w:ascii="楷体" w:hAnsi="楷体" w:eastAsia="楷体" w:cs="仿宋_GB2312"/>
          <w:b/>
          <w:color w:val="auto"/>
          <w:sz w:val="32"/>
          <w:highlight w:val="none"/>
        </w:rPr>
        <w:t>（二）绩效评价原则、评价指标体系（附表说明）、评价方法、评价标准等。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highlight w:val="none"/>
        </w:rPr>
      </w:pPr>
      <w:r>
        <w:rPr>
          <w:rFonts w:hint="eastAsia" w:ascii="仿宋_GB2312" w:hAnsi="仿宋" w:cs="宋体"/>
          <w:b/>
          <w:color w:val="auto"/>
          <w:sz w:val="32"/>
          <w:szCs w:val="32"/>
          <w:highlight w:val="none"/>
        </w:rPr>
        <w:t>1．</w:t>
      </w:r>
      <w:r>
        <w:rPr>
          <w:rFonts w:hint="eastAsia" w:ascii="仿宋_GB2312" w:hAnsi="仿宋_GB2312" w:cs="仿宋_GB2312"/>
          <w:b/>
          <w:color w:val="auto"/>
          <w:sz w:val="32"/>
          <w:highlight w:val="none"/>
        </w:rPr>
        <w:t xml:space="preserve">绩效评价原则 </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（1）科学公正。绩效评价应当运用科学合理的方法，按照规范的程序，对项目绩效进行客观、公正的反映。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（3）激励约束。绩效评价结果</w:t>
      </w:r>
      <w:r>
        <w:rPr>
          <w:rFonts w:hint="eastAsia" w:ascii="仿宋_GB2312" w:hAnsi="仿宋_GB2312" w:cs="仿宋_GB2312"/>
          <w:color w:val="auto"/>
          <w:sz w:val="32"/>
          <w:highlight w:val="none"/>
          <w:lang w:eastAsia="zh-CN"/>
        </w:rPr>
        <w:t>应用、</w:t>
      </w:r>
      <w:r>
        <w:rPr>
          <w:rFonts w:hint="eastAsia" w:ascii="仿宋_GB2312" w:hAnsi="仿宋_GB2312" w:cs="仿宋_GB2312"/>
          <w:color w:val="auto"/>
          <w:sz w:val="32"/>
          <w:highlight w:val="none"/>
        </w:rPr>
        <w:t>预算安排、政策调整、改进管理实质性挂钩，体现奖优罚劣和激励导向，有效要安排、低效要压减、无效要问责。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（4）公开透明。绩效评价结果应依法依规公开，并自觉接受社会监督。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bCs/>
          <w:color w:val="auto"/>
          <w:sz w:val="32"/>
          <w:highlight w:val="none"/>
        </w:rPr>
      </w:pPr>
      <w:r>
        <w:rPr>
          <w:rFonts w:hint="eastAsia" w:ascii="仿宋_GB2312" w:hAnsi="仿宋_GB2312" w:cs="仿宋_GB2312"/>
          <w:b/>
          <w:bCs/>
          <w:color w:val="auto"/>
          <w:sz w:val="32"/>
          <w:highlight w:val="none"/>
        </w:rPr>
        <w:t>2．绩效评价指标体系</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在对</w:t>
      </w:r>
      <w:r>
        <w:rPr>
          <w:rFonts w:hint="eastAsia" w:ascii="仿宋_GB2312" w:hAnsi="仿宋_GB2312" w:cs="仿宋_GB2312"/>
          <w:color w:val="auto"/>
          <w:sz w:val="32"/>
          <w:highlight w:val="none"/>
          <w:lang w:eastAsia="zh-CN"/>
        </w:rPr>
        <w:t>2024年车辆购置税收入补助地方（第一批）用于普通省道及农村公路建设“以奖代补”资金项目</w:t>
      </w:r>
      <w:r>
        <w:rPr>
          <w:rFonts w:hint="eastAsia" w:ascii="仿宋_GB2312" w:hAnsi="仿宋_GB2312" w:cs="仿宋_GB2312"/>
          <w:color w:val="auto"/>
          <w:sz w:val="32"/>
          <w:highlight w:val="none"/>
        </w:rPr>
        <w:t>的深入调研基础上，按照《项目支出绩效评价管理办法》（财预〔2021〕10号）对于指标体系的要求和规范，建立一套适合评价</w:t>
      </w:r>
      <w:r>
        <w:rPr>
          <w:rFonts w:hint="eastAsia" w:ascii="仿宋_GB2312" w:hAnsi="仿宋_GB2312" w:cs="仿宋_GB2312"/>
          <w:color w:val="auto"/>
          <w:sz w:val="32"/>
          <w:highlight w:val="none"/>
          <w:lang w:eastAsia="zh-CN"/>
        </w:rPr>
        <w:t>2024年车辆购置税收入补助地方（第一批）用于普通省道及农村公路建设“以奖代补”资金项目</w:t>
      </w:r>
      <w:r>
        <w:rPr>
          <w:rFonts w:hint="eastAsia" w:ascii="仿宋_GB2312" w:hAnsi="仿宋_GB2312" w:cs="仿宋_GB2312"/>
          <w:color w:val="auto"/>
          <w:sz w:val="32"/>
          <w:highlight w:val="none"/>
        </w:rPr>
        <w:t>的指标体系，从项目决策、项目过程、项目产出和项目绩效四个维度全面考察</w:t>
      </w:r>
      <w:r>
        <w:rPr>
          <w:rFonts w:hint="eastAsia" w:ascii="仿宋_GB2312" w:hAnsi="仿宋_GB2312" w:cs="仿宋_GB2312"/>
          <w:color w:val="auto"/>
          <w:sz w:val="32"/>
          <w:highlight w:val="none"/>
          <w:lang w:eastAsia="zh-CN"/>
        </w:rPr>
        <w:t>2024年车辆购置税收入补助地方（第一批）用于普通省道及农村公路建设“以奖代补”资金项目</w:t>
      </w:r>
      <w:r>
        <w:rPr>
          <w:rFonts w:hint="eastAsia" w:ascii="仿宋_GB2312" w:hAnsi="仿宋_GB2312" w:cs="仿宋_GB2312"/>
          <w:color w:val="auto"/>
          <w:sz w:val="32"/>
          <w:highlight w:val="none"/>
        </w:rPr>
        <w:t>资金的效益，并重点对于项目的产出和绩效进行总体分析，以达到通过指标体系的科学评价反思管理及决策问题的目标。（见附件1）</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olor w:val="auto"/>
          <w:sz w:val="32"/>
          <w:szCs w:val="32"/>
          <w:highlight w:val="none"/>
        </w:rPr>
      </w:pPr>
      <w:r>
        <w:rPr>
          <w:rFonts w:hint="eastAsia" w:ascii="仿宋_GB2312" w:hAnsi="仿宋_GB2312" w:cs="仿宋_GB2312"/>
          <w:b/>
          <w:bCs/>
          <w:color w:val="auto"/>
          <w:sz w:val="32"/>
          <w:highlight w:val="none"/>
        </w:rPr>
        <w:t>绩效评价方法</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三级指标分析环节：总体采用比较法，同时辅以文献法、成本效益法、因素分析法以及公众评判法，根据不同三级指标类型进行逐项分析。</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②定性指标分析环节：主要采用公众评判法，通过问卷及抽样调查等方式评价本项目实施后社会公众对于其实施效果的满意程度，将调研结果按照《项目支出绩效评价管理办法》（财预〔2020〕10号）</w:t>
      </w:r>
      <w:r>
        <w:rPr>
          <w:rFonts w:hint="eastAsia" w:ascii="仿宋_GB2312" w:hAnsi="仿宋_GB2312" w:cs="仿宋_GB2312"/>
          <w:color w:val="auto"/>
          <w:sz w:val="32"/>
          <w:highlight w:val="none"/>
          <w:lang w:eastAsia="zh-CN"/>
        </w:rPr>
        <w:t>、</w:t>
      </w:r>
      <w:r>
        <w:rPr>
          <w:rFonts w:hint="eastAsia" w:ascii="仿宋_GB2312" w:hAnsi="仿宋_GB2312" w:cs="仿宋_GB2312"/>
          <w:color w:val="auto"/>
          <w:sz w:val="32"/>
          <w:highlight w:val="none"/>
        </w:rPr>
        <w:t>《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立项依据充分性：比较法、文献法，查找法律法规政策以及规划，对比实际执行内容和政策支持内容是否匹配。</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立项程序规范性：比较法、文献法，查找相关项目设立的政策和文件要求，对比分析实际执行程序是否按照政策及文件要求执行，分析立项程序的规范性。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绩效目标合理性：比较法，对比分析年初编制项目支出绩效目标表与项目内容的相关性、资金的匹配性等。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绩效指标明确性：比较法，比较分析年初编制项目支出绩效目标表是否符合双七原则，是否可衡量。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预算编制科学性</w:t>
      </w:r>
      <w:r>
        <w:rPr>
          <w:rFonts w:hint="eastAsia" w:ascii="仿宋_GB2312" w:hAnsi="仿宋_GB2312" w:cs="仿宋_GB2312"/>
          <w:color w:val="auto"/>
          <w:sz w:val="32"/>
          <w:highlight w:val="none"/>
        </w:rPr>
        <w:tab/>
      </w:r>
      <w:r>
        <w:rPr>
          <w:rFonts w:hint="eastAsia" w:ascii="仿宋_GB2312" w:hAnsi="仿宋_GB2312" w:cs="仿宋_GB2312"/>
          <w:color w:val="auto"/>
          <w:sz w:val="32"/>
          <w:highlight w:val="none"/>
        </w:rPr>
        <w:t>成本效益分析法</w:t>
      </w:r>
      <w:r>
        <w:rPr>
          <w:rFonts w:hint="eastAsia" w:ascii="仿宋_GB2312" w:hAnsi="仿宋_GB2312" w:cs="仿宋_GB2312"/>
          <w:color w:val="auto"/>
          <w:sz w:val="32"/>
          <w:highlight w:val="none"/>
        </w:rPr>
        <w:tab/>
      </w:r>
      <w:r>
        <w:rPr>
          <w:rFonts w:hint="eastAsia" w:ascii="仿宋_GB2312" w:hAnsi="仿宋_GB2312" w:cs="仿宋_GB2312"/>
          <w:color w:val="auto"/>
          <w:sz w:val="32"/>
          <w:highlight w:val="none"/>
        </w:rPr>
        <w:t>分析在产出一定的情况下，成本取值是否有依据，是否经过询价，是否按照市场最低成本编制。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资金分配合理性：因素分析法，综合分析资金的分配依据是否充分，分配金额是否与项目实施单位需求金额一致，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资金到位率：比较法，资金到位率预期指标值应为100%，通过实际计算，分析实际完成值和预期指标值之间的差距和原因。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预算执行率：比较法，预算执行率预期指标值应为100%，通过实际计算，分析实际完成值和预期指标值之间的差距和原因。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资金使用合规性：文献法、实地勘察法，一是查找资金管理办法，包括专项资金管理办法和单位自有资金管理办法；二是通过查账了解具体开支情况，是否专款专用，是否按照标准支出。</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管理制度健全性：文献法、比较法，查阅项目实施人员提供的财务和业务管理制度，将已建立的制度与现行的法律法规和政策要求进行对比，分析项目制度的合法性、合规性、完整性。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制度执行有效性：比较法，结合项目实际实施过程性文件，根据已建设的财务管理制度和项目管理制度综合分析制度执行的有效性。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定性指标：公众评判法，通过问卷及抽样调查等方式评价本项目实施后社会公众对于其实施效果的满意程度。</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szCs w:val="32"/>
          <w:highlight w:val="none"/>
        </w:rPr>
      </w:pPr>
      <w:r>
        <w:rPr>
          <w:rFonts w:hint="eastAsia" w:ascii="仿宋_GB2312" w:hAnsi="仿宋_GB2312" w:cs="仿宋_GB2312"/>
          <w:b/>
          <w:color w:val="auto"/>
          <w:sz w:val="32"/>
          <w:szCs w:val="32"/>
          <w:highlight w:val="none"/>
        </w:rPr>
        <w:t>绩效评价标准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lang w:eastAsia="zh-CN"/>
        </w:rPr>
        <w:t>2024年车辆购置税收入补助地方（第一批）用于普通省道及农村公路建设“以奖代补”资金项目</w:t>
      </w:r>
      <w:r>
        <w:rPr>
          <w:rFonts w:hint="eastAsia" w:ascii="仿宋_GB2312" w:hAnsi="仿宋_GB2312" w:cs="仿宋_GB2312"/>
          <w:color w:val="auto"/>
          <w:sz w:val="32"/>
          <w:highlight w:val="none"/>
        </w:rPr>
        <w:t>属于</w:t>
      </w:r>
      <w:r>
        <w:rPr>
          <w:rFonts w:hint="eastAsia" w:ascii="仿宋_GB2312" w:hAnsi="仿宋_GB2312" w:cs="仿宋_GB2312"/>
          <w:color w:val="auto"/>
          <w:sz w:val="32"/>
          <w:highlight w:val="none"/>
          <w:lang w:val="en-US" w:eastAsia="zh-CN"/>
        </w:rPr>
        <w:t>政策</w:t>
      </w:r>
      <w:r>
        <w:rPr>
          <w:rFonts w:hint="eastAsia" w:ascii="仿宋_GB2312" w:hAnsi="仿宋_GB2312" w:cs="仿宋_GB2312"/>
          <w:color w:val="auto"/>
          <w:sz w:val="32"/>
          <w:highlight w:val="none"/>
        </w:rPr>
        <w:t>类项目，</w:t>
      </w:r>
      <w:r>
        <w:rPr>
          <w:rFonts w:hint="eastAsia" w:ascii="仿宋_GB2312" w:hAnsi="仿宋_GB2312" w:cs="仿宋_GB2312"/>
          <w:bCs/>
          <w:color w:val="auto"/>
          <w:sz w:val="32"/>
          <w:highlight w:val="none"/>
        </w:rPr>
        <w:t>有</w:t>
      </w:r>
      <w:r>
        <w:rPr>
          <w:rFonts w:hint="eastAsia" w:ascii="仿宋_GB2312" w:hAnsi="仿宋_GB2312" w:cs="仿宋_GB2312"/>
          <w:color w:val="auto"/>
          <w:sz w:val="32"/>
          <w:highlight w:val="none"/>
        </w:rPr>
        <w:t>相应的行业标准和历史标准，故采用</w:t>
      </w:r>
      <w:r>
        <w:rPr>
          <w:rFonts w:hint="eastAsia" w:ascii="仿宋_GB2312"/>
          <w:color w:val="auto"/>
          <w:sz w:val="32"/>
          <w:highlight w:val="none"/>
        </w:rPr>
        <w:t>计划标准、行业标准、历史标准</w:t>
      </w:r>
      <w:r>
        <w:rPr>
          <w:rFonts w:hint="eastAsia" w:ascii="仿宋_GB2312" w:hAnsi="仿宋_GB2312" w:cs="仿宋_GB2312"/>
          <w:color w:val="auto"/>
          <w:sz w:val="32"/>
          <w:highlight w:val="none"/>
        </w:rPr>
        <w:t>评价该项目。</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bCs/>
          <w:color w:val="auto"/>
          <w:sz w:val="32"/>
          <w:highlight w:val="none"/>
        </w:rPr>
      </w:pPr>
      <w:r>
        <w:rPr>
          <w:rFonts w:hint="eastAsia" w:ascii="楷体" w:hAnsi="楷体" w:eastAsia="楷体" w:cs="仿宋_GB2312"/>
          <w:b/>
          <w:bCs/>
          <w:color w:val="auto"/>
          <w:sz w:val="32"/>
          <w:highlight w:val="none"/>
        </w:rPr>
        <w:t>（三）绩效评价工作过程。</w:t>
      </w:r>
    </w:p>
    <w:p>
      <w:pPr>
        <w:pBdr>
          <w:top w:val="none" w:color="auto" w:sz="0" w:space="0"/>
          <w:left w:val="none" w:color="auto" w:sz="0" w:space="0"/>
          <w:bottom w:val="none" w:color="auto" w:sz="0" w:space="31"/>
          <w:right w:val="none" w:color="auto" w:sz="0" w:space="2"/>
        </w:pBdr>
        <w:autoSpaceDN w:val="0"/>
        <w:adjustRightInd w:val="0"/>
        <w:spacing w:line="560" w:lineRule="exact"/>
        <w:ind w:left="600" w:leftChars="200"/>
        <w:contextualSpacing/>
        <w:rPr>
          <w:rFonts w:hint="eastAsia" w:ascii="仿宋_GB2312" w:hAnsi="仿宋_GB2312" w:cs="仿宋_GB2312"/>
          <w:b/>
          <w:color w:val="auto"/>
          <w:sz w:val="32"/>
          <w:highlight w:val="none"/>
        </w:rPr>
      </w:pPr>
      <w:r>
        <w:rPr>
          <w:rFonts w:hint="eastAsia" w:ascii="仿宋_GB2312" w:hAnsi="仿宋_GB2312" w:cs="仿宋_GB2312"/>
          <w:b/>
          <w:color w:val="auto"/>
          <w:sz w:val="32"/>
          <w:highlight w:val="none"/>
        </w:rPr>
        <w:t>1．前期准备</w:t>
      </w:r>
    </w:p>
    <w:p>
      <w:pPr>
        <w:pStyle w:val="30"/>
        <w:keepNext w:val="0"/>
        <w:keepLines w:val="0"/>
        <w:numPr>
          <w:ilvl w:val="0"/>
          <w:numId w:val="0"/>
        </w:numPr>
        <w:spacing w:before="0" w:after="0" w:line="560" w:lineRule="exact"/>
        <w:ind w:firstLine="640" w:firstLineChars="200"/>
        <w:outlineLvl w:val="9"/>
        <w:rPr>
          <w:b w:val="0"/>
          <w:bCs w:val="0"/>
          <w:color w:val="auto"/>
          <w:highlight w:val="none"/>
        </w:rPr>
      </w:pPr>
      <w:r>
        <w:rPr>
          <w:rFonts w:hint="eastAsia"/>
          <w:b w:val="0"/>
          <w:bCs w:val="0"/>
          <w:color w:val="auto"/>
          <w:highlight w:val="none"/>
        </w:rPr>
        <w:t>本次评价成立了评价工作组，成员如下：</w:t>
      </w:r>
    </w:p>
    <w:tbl>
      <w:tblPr>
        <w:tblStyle w:val="12"/>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68"/>
        <w:gridCol w:w="1827"/>
        <w:gridCol w:w="3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897"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评价人</w:t>
            </w:r>
          </w:p>
        </w:tc>
        <w:tc>
          <w:tcPr>
            <w:tcW w:w="1827" w:type="dxa"/>
            <w:vAlign w:val="center"/>
          </w:tcPr>
          <w:p>
            <w:pPr>
              <w:pStyle w:val="30"/>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职务</w:t>
            </w:r>
          </w:p>
        </w:tc>
        <w:tc>
          <w:tcPr>
            <w:tcW w:w="3901" w:type="dxa"/>
            <w:vAlign w:val="center"/>
          </w:tcPr>
          <w:p>
            <w:pPr>
              <w:pStyle w:val="30"/>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0" w:hRule="atLeast"/>
          <w:jc w:val="center"/>
        </w:trPr>
        <w:tc>
          <w:tcPr>
            <w:tcW w:w="2568" w:type="dxa"/>
            <w:vAlign w:val="center"/>
          </w:tcPr>
          <w:p>
            <w:pPr>
              <w:pStyle w:val="30"/>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王彦超</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评价组组长</w:t>
            </w:r>
          </w:p>
        </w:tc>
        <w:tc>
          <w:tcPr>
            <w:tcW w:w="3901"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组织安排绩效评价工作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阿西木江</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资料整理及信息汇总工作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玛伊努尔</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出具项目绩效评价报告</w:t>
            </w:r>
          </w:p>
        </w:tc>
      </w:tr>
    </w:tbl>
    <w:p>
      <w:pPr>
        <w:pStyle w:val="29"/>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3月20日开始前期准备工作。评价组通过对评价对象前期调研，确定了评价的目的、评价方法及原则，根据2024年车辆购置税收入补助地方（第一批）用于普通省道及农村公路建设“以奖代补”资金项目的内容和特征制定了评价指标体系及评价标准以及评价实施方案，修正并确定所需资料清单，最终确定实施方案。</w:t>
      </w:r>
    </w:p>
    <w:p>
      <w:pPr>
        <w:pStyle w:val="29"/>
        <w:tabs>
          <w:tab w:val="left" w:pos="1123"/>
        </w:tabs>
        <w:spacing w:line="560" w:lineRule="exact"/>
        <w:ind w:firstLine="640"/>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2．组织实施</w:t>
      </w:r>
    </w:p>
    <w:p>
      <w:pPr>
        <w:pStyle w:val="29"/>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w:t>
      </w:r>
      <w:r>
        <w:rPr>
          <w:rFonts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24"/>
          <w:highlight w:val="none"/>
          <w:lang w:val="en-US" w:eastAsia="zh-CN" w:bidi="ar-SA"/>
        </w:rPr>
        <w:t>年4月1日-4月20日，评价工作进入实施阶段。数据采集方面，评价组整理单位前期提交的各项资料，与项目实施负责人沟通，了解部门预算资金的内容、操作流程、管理机制、资金使用方向等情况；进行项目支出部门评价各项工作信息采集，了解项目设置背景及资金使用等情况。</w:t>
      </w:r>
    </w:p>
    <w:p>
      <w:pPr>
        <w:pStyle w:val="29"/>
        <w:tabs>
          <w:tab w:val="left" w:pos="1123"/>
        </w:tabs>
        <w:spacing w:line="560" w:lineRule="exact"/>
        <w:ind w:firstLine="640"/>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3．分析评价</w:t>
      </w:r>
    </w:p>
    <w:p>
      <w:pPr>
        <w:pStyle w:val="29"/>
        <w:tabs>
          <w:tab w:val="left" w:pos="1123"/>
        </w:tabs>
        <w:spacing w:line="560" w:lineRule="exact"/>
        <w:ind w:firstLine="640"/>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202</w:t>
      </w:r>
      <w:r>
        <w:rPr>
          <w:rFonts w:ascii="仿宋_GB2312" w:hAnsi="仿宋_GB2312" w:eastAsia="仿宋_GB2312" w:cs="仿宋_GB2312"/>
          <w:color w:val="auto"/>
          <w:sz w:val="32"/>
          <w:szCs w:val="32"/>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年</w:t>
      </w:r>
      <w:r>
        <w:rPr>
          <w:rFonts w:hint="eastAsia" w:ascii="仿宋_GB2312" w:hAnsi="仿宋_GB2312" w:eastAsia="仿宋_GB2312" w:cs="仿宋_GB2312"/>
          <w:color w:val="auto"/>
          <w:sz w:val="32"/>
          <w:szCs w:val="24"/>
          <w:highlight w:val="none"/>
          <w:lang w:val="en-US" w:eastAsia="zh-CN" w:bidi="ar-SA"/>
        </w:rPr>
        <w:t>4</w:t>
      </w:r>
      <w:r>
        <w:rPr>
          <w:rFonts w:hint="eastAsia" w:ascii="仿宋_GB2312" w:hAnsi="仿宋_GB2312" w:eastAsia="仿宋_GB2312" w:cs="仿宋_GB2312"/>
          <w:color w:val="auto"/>
          <w:sz w:val="32"/>
          <w:szCs w:val="32"/>
          <w:highlight w:val="none"/>
          <w:lang w:val="en-US" w:eastAsia="zh-CN" w:bidi="ar-SA"/>
        </w:rPr>
        <w:t>月</w:t>
      </w:r>
      <w:r>
        <w:rPr>
          <w:rFonts w:hint="eastAsia" w:ascii="仿宋_GB2312" w:hAnsi="仿宋_GB2312" w:eastAsia="仿宋_GB2312" w:cs="仿宋_GB2312"/>
          <w:color w:val="auto"/>
          <w:sz w:val="32"/>
          <w:szCs w:val="24"/>
          <w:highlight w:val="none"/>
          <w:lang w:val="en-US" w:eastAsia="zh-CN" w:bidi="ar-SA"/>
        </w:rPr>
        <w:t>21</w:t>
      </w:r>
      <w:r>
        <w:rPr>
          <w:rFonts w:hint="eastAsia" w:ascii="仿宋_GB2312" w:hAnsi="仿宋_GB2312" w:eastAsia="仿宋_GB2312" w:cs="仿宋_GB2312"/>
          <w:color w:val="auto"/>
          <w:sz w:val="32"/>
          <w:szCs w:val="32"/>
          <w:highlight w:val="none"/>
          <w:lang w:val="en-US" w:eastAsia="zh-CN" w:bidi="ar-SA"/>
        </w:rPr>
        <w:t>日-</w:t>
      </w:r>
      <w:r>
        <w:rPr>
          <w:rFonts w:hint="eastAsia"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月20日，评价组按照绩效评价的原则和规范，对取得的资料进行审查核实，对采集的数据进行分析，按照绩效评价指标评分表逐项进行打分、分析，汇总各方评价结果，综合分析并形成评价结论。</w:t>
      </w:r>
    </w:p>
    <w:p>
      <w:pPr>
        <w:pStyle w:val="29"/>
        <w:tabs>
          <w:tab w:val="left" w:pos="1123"/>
        </w:tabs>
        <w:spacing w:line="560" w:lineRule="exact"/>
        <w:ind w:firstLine="640"/>
        <w:rPr>
          <w:rFonts w:hint="eastAsia" w:ascii="黑体" w:hAnsi="黑体" w:eastAsia="黑体" w:cs="仿宋_GB2312"/>
          <w:color w:val="auto"/>
          <w:sz w:val="32"/>
          <w:szCs w:val="32"/>
          <w:highlight w:val="none"/>
          <w:lang w:val="en-US" w:eastAsia="zh-CN" w:bidi="ar-SA"/>
        </w:rPr>
      </w:pPr>
      <w:r>
        <w:rPr>
          <w:rFonts w:hint="eastAsia" w:ascii="黑体" w:hAnsi="黑体" w:eastAsia="黑体" w:cs="仿宋_GB2312"/>
          <w:color w:val="auto"/>
          <w:sz w:val="32"/>
          <w:szCs w:val="32"/>
          <w:highlight w:val="none"/>
          <w:lang w:val="en-US" w:eastAsia="zh-CN" w:bidi="ar-SA"/>
        </w:rPr>
        <w:t>三、综合评价情况及评价结论</w:t>
      </w:r>
    </w:p>
    <w:p>
      <w:pPr>
        <w:pStyle w:val="29"/>
        <w:tabs>
          <w:tab w:val="left" w:pos="1123"/>
        </w:tabs>
        <w:spacing w:line="560" w:lineRule="exact"/>
        <w:ind w:firstLine="640"/>
        <w:rPr>
          <w:rFonts w:hint="eastAsia" w:ascii="楷体" w:hAnsi="楷体" w:eastAsia="楷体" w:cs="仿宋_GB2312"/>
          <w:b/>
          <w:bCs/>
          <w:color w:val="auto"/>
          <w:sz w:val="32"/>
          <w:szCs w:val="32"/>
          <w:highlight w:val="none"/>
          <w:lang w:val="en-US" w:eastAsia="zh-CN" w:bidi="ar-SA"/>
        </w:rPr>
      </w:pPr>
      <w:r>
        <w:rPr>
          <w:rFonts w:hint="eastAsia" w:ascii="楷体" w:hAnsi="楷体" w:eastAsia="楷体" w:cs="仿宋_GB2312"/>
          <w:b/>
          <w:bCs/>
          <w:color w:val="auto"/>
          <w:sz w:val="32"/>
          <w:szCs w:val="32"/>
          <w:highlight w:val="none"/>
          <w:lang w:val="en-US" w:eastAsia="zh-CN" w:bidi="ar-SA"/>
        </w:rPr>
        <w:t>（一）综合评价情况</w:t>
      </w:r>
    </w:p>
    <w:p>
      <w:pPr>
        <w:pStyle w:val="29"/>
        <w:tabs>
          <w:tab w:val="left" w:pos="1123"/>
        </w:tabs>
        <w:spacing w:line="560" w:lineRule="exact"/>
        <w:ind w:firstLine="640"/>
        <w:rPr>
          <w:rFonts w:hint="eastAsia" w:ascii="仿宋_GB2312" w:hAnsi="Cambria" w:eastAsia="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bidi="ar-SA"/>
        </w:rPr>
        <w:t>本级绩效评价遵循科学规范、公开公正、绩效相关和问题导向的原则、重点评价项目的资金投入与财务管理</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bidi="ar-SA"/>
        </w:rPr>
        <w:t>组织管理、产出与效益效果。在此基础上，以相关的项目数据为基础，综合运用不同的评价方法，结合评价标准和评分规则，2024年车辆购置税收入补助地方（第一批）用于普通省道及农村公路建设“以奖代补”资金项目综合得分为68.58分，</w:t>
      </w:r>
      <w:r>
        <w:rPr>
          <w:rFonts w:hint="eastAsia" w:ascii="仿宋_GB2312" w:hAnsi="Cambria" w:eastAsia="仿宋_GB2312"/>
          <w:color w:val="auto"/>
          <w:sz w:val="32"/>
          <w:szCs w:val="32"/>
          <w:highlight w:val="none"/>
        </w:rPr>
        <w:t>评价结果为</w:t>
      </w:r>
      <w:r>
        <w:rPr>
          <w:rFonts w:hint="eastAsia" w:ascii="仿宋_GB2312" w:hAnsi="Cambria" w:eastAsia="仿宋_GB2312"/>
          <w:color w:val="auto"/>
          <w:sz w:val="32"/>
          <w:szCs w:val="32"/>
          <w:highlight w:val="none"/>
          <w:lang w:val="en-US" w:eastAsia="zh-CN"/>
        </w:rPr>
        <w:t>中</w:t>
      </w:r>
      <w:r>
        <w:rPr>
          <w:rFonts w:hint="eastAsia" w:ascii="仿宋_GB2312" w:hAnsi="Cambria" w:eastAsia="仿宋_GB2312"/>
          <w:color w:val="auto"/>
          <w:sz w:val="32"/>
          <w:szCs w:val="32"/>
          <w:highlight w:val="none"/>
        </w:rPr>
        <w:t>。</w:t>
      </w:r>
    </w:p>
    <w:p>
      <w:pPr>
        <w:pStyle w:val="29"/>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2024年车辆购置税收入补助地方（第一批）用于普通省道及农村公路建设“以奖代补”资金项目评价得分情况</w:t>
      </w:r>
    </w:p>
    <w:tbl>
      <w:tblPr>
        <w:tblStyle w:val="12"/>
        <w:tblW w:w="9309" w:type="dxa"/>
        <w:jc w:val="center"/>
        <w:tblInd w:w="0" w:type="dxa"/>
        <w:tblLayout w:type="fixed"/>
        <w:tblCellMar>
          <w:top w:w="0" w:type="dxa"/>
          <w:left w:w="10" w:type="dxa"/>
          <w:bottom w:w="0" w:type="dxa"/>
          <w:right w:w="10" w:type="dxa"/>
        </w:tblCellMar>
      </w:tblPr>
      <w:tblGrid>
        <w:gridCol w:w="1447"/>
        <w:gridCol w:w="2045"/>
        <w:gridCol w:w="1951"/>
        <w:gridCol w:w="3866"/>
      </w:tblGrid>
      <w:tr>
        <w:tblPrEx>
          <w:tblLayout w:type="fixed"/>
          <w:tblCellMar>
            <w:top w:w="0" w:type="dxa"/>
            <w:left w:w="10" w:type="dxa"/>
            <w:bottom w:w="0" w:type="dxa"/>
            <w:right w:w="10" w:type="dxa"/>
          </w:tblCellMar>
        </w:tblPrEx>
        <w:trPr>
          <w:trHeight w:val="619" w:hRule="exact"/>
          <w:jc w:val="center"/>
        </w:trPr>
        <w:tc>
          <w:tcPr>
            <w:tcW w:w="1447" w:type="dxa"/>
            <w:tcBorders>
              <w:top w:val="single" w:color="auto" w:sz="4" w:space="0"/>
              <w:left w:val="single" w:color="auto" w:sz="4" w:space="0"/>
            </w:tcBorders>
            <w:shd w:val="clear" w:color="auto" w:fill="FFFFFF"/>
            <w:vAlign w:val="center"/>
          </w:tcPr>
          <w:p>
            <w:pPr>
              <w:pStyle w:val="33"/>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指标类别</w:t>
            </w:r>
          </w:p>
        </w:tc>
        <w:tc>
          <w:tcPr>
            <w:tcW w:w="2045" w:type="dxa"/>
            <w:tcBorders>
              <w:top w:val="single" w:color="auto" w:sz="4" w:space="0"/>
              <w:left w:val="single" w:color="auto" w:sz="4" w:space="0"/>
            </w:tcBorders>
            <w:shd w:val="clear" w:color="auto" w:fill="FFFFFF"/>
            <w:vAlign w:val="center"/>
          </w:tcPr>
          <w:p>
            <w:pPr>
              <w:pStyle w:val="33"/>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分值</w:t>
            </w:r>
          </w:p>
        </w:tc>
        <w:tc>
          <w:tcPr>
            <w:tcW w:w="1951" w:type="dxa"/>
            <w:tcBorders>
              <w:top w:val="single" w:color="auto" w:sz="4" w:space="0"/>
              <w:left w:val="single" w:color="auto" w:sz="4" w:space="0"/>
            </w:tcBorders>
            <w:shd w:val="clear" w:color="auto" w:fill="FFFFFF"/>
            <w:vAlign w:val="center"/>
          </w:tcPr>
          <w:p>
            <w:pPr>
              <w:pStyle w:val="33"/>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评价得分</w:t>
            </w:r>
          </w:p>
        </w:tc>
        <w:tc>
          <w:tcPr>
            <w:tcW w:w="3866" w:type="dxa"/>
            <w:tcBorders>
              <w:top w:val="single" w:color="auto" w:sz="4" w:space="0"/>
              <w:left w:val="single" w:color="auto" w:sz="4" w:space="0"/>
              <w:right w:val="single" w:color="auto" w:sz="4" w:space="0"/>
            </w:tcBorders>
            <w:shd w:val="clear" w:color="auto" w:fill="FFFFFF"/>
            <w:vAlign w:val="center"/>
          </w:tcPr>
          <w:p>
            <w:pPr>
              <w:pStyle w:val="33"/>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备注</w:t>
            </w:r>
          </w:p>
        </w:tc>
      </w:tr>
      <w:tr>
        <w:tblPrEx>
          <w:tblLayout w:type="fixed"/>
          <w:tblCellMar>
            <w:top w:w="0" w:type="dxa"/>
            <w:left w:w="10" w:type="dxa"/>
            <w:bottom w:w="0" w:type="dxa"/>
            <w:right w:w="10" w:type="dxa"/>
          </w:tblCellMar>
        </w:tblPrEx>
        <w:trPr>
          <w:trHeight w:val="628" w:hRule="exact"/>
          <w:jc w:val="center"/>
        </w:trPr>
        <w:tc>
          <w:tcPr>
            <w:tcW w:w="1447" w:type="dxa"/>
            <w:tcBorders>
              <w:top w:val="single" w:color="auto" w:sz="4" w:space="0"/>
              <w:left w:val="single" w:color="auto" w:sz="4" w:space="0"/>
            </w:tcBorders>
            <w:shd w:val="clear" w:color="auto" w:fill="FFFFFF"/>
            <w:vAlign w:val="center"/>
          </w:tcPr>
          <w:p>
            <w:pPr>
              <w:pStyle w:val="33"/>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决策</w:t>
            </w:r>
          </w:p>
        </w:tc>
        <w:tc>
          <w:tcPr>
            <w:tcW w:w="2045" w:type="dxa"/>
            <w:tcBorders>
              <w:top w:val="single" w:color="auto" w:sz="4" w:space="0"/>
              <w:left w:val="single" w:color="auto" w:sz="4" w:space="0"/>
            </w:tcBorders>
            <w:shd w:val="clear" w:color="auto" w:fill="FFFFFF"/>
            <w:vAlign w:val="center"/>
          </w:tcPr>
          <w:p>
            <w:pPr>
              <w:pStyle w:val="33"/>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1951" w:type="dxa"/>
            <w:tcBorders>
              <w:top w:val="single" w:color="auto" w:sz="4" w:space="0"/>
              <w:left w:val="single" w:color="auto" w:sz="4" w:space="0"/>
            </w:tcBorders>
            <w:shd w:val="clear" w:color="auto" w:fill="FFFFFF"/>
            <w:vAlign w:val="center"/>
          </w:tcPr>
          <w:p>
            <w:pPr>
              <w:pStyle w:val="33"/>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3866" w:type="dxa"/>
            <w:tcBorders>
              <w:top w:val="single" w:color="auto" w:sz="4" w:space="0"/>
              <w:left w:val="single" w:color="auto" w:sz="4" w:space="0"/>
              <w:right w:val="single" w:color="auto" w:sz="4" w:space="0"/>
            </w:tcBorders>
            <w:shd w:val="clear" w:color="auto" w:fill="FFFFFF"/>
            <w:vAlign w:val="top"/>
          </w:tcPr>
          <w:p>
            <w:pPr>
              <w:pStyle w:val="33"/>
              <w:spacing w:line="560" w:lineRule="exact"/>
              <w:ind w:firstLine="0"/>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650" w:hRule="exact"/>
          <w:jc w:val="center"/>
        </w:trPr>
        <w:tc>
          <w:tcPr>
            <w:tcW w:w="1447" w:type="dxa"/>
            <w:tcBorders>
              <w:top w:val="single" w:color="auto" w:sz="4" w:space="0"/>
              <w:left w:val="single" w:color="auto" w:sz="4" w:space="0"/>
            </w:tcBorders>
            <w:shd w:val="clear" w:color="auto" w:fill="FFFFFF"/>
            <w:vAlign w:val="center"/>
          </w:tcPr>
          <w:p>
            <w:pPr>
              <w:pStyle w:val="33"/>
              <w:spacing w:line="560" w:lineRule="exact"/>
              <w:ind w:firstLine="380"/>
              <w:jc w:val="left"/>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过程</w:t>
            </w:r>
          </w:p>
        </w:tc>
        <w:tc>
          <w:tcPr>
            <w:tcW w:w="2045" w:type="dxa"/>
            <w:tcBorders>
              <w:top w:val="single" w:color="auto" w:sz="4" w:space="0"/>
              <w:left w:val="single" w:color="auto" w:sz="4" w:space="0"/>
            </w:tcBorders>
            <w:shd w:val="clear" w:color="auto" w:fill="FFFFFF"/>
            <w:vAlign w:val="center"/>
          </w:tcPr>
          <w:p>
            <w:pPr>
              <w:pStyle w:val="33"/>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1951" w:type="dxa"/>
            <w:tcBorders>
              <w:top w:val="single" w:color="auto" w:sz="4" w:space="0"/>
              <w:left w:val="single" w:color="auto" w:sz="4" w:space="0"/>
            </w:tcBorders>
            <w:shd w:val="clear" w:color="auto" w:fill="FFFFFF"/>
            <w:vAlign w:val="center"/>
          </w:tcPr>
          <w:p>
            <w:pPr>
              <w:pStyle w:val="33"/>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14.62</w:t>
            </w:r>
          </w:p>
        </w:tc>
        <w:tc>
          <w:tcPr>
            <w:tcW w:w="3866" w:type="dxa"/>
            <w:tcBorders>
              <w:top w:val="single" w:color="auto" w:sz="4" w:space="0"/>
              <w:left w:val="single" w:color="auto" w:sz="4" w:space="0"/>
              <w:right w:val="single" w:color="auto" w:sz="4" w:space="0"/>
            </w:tcBorders>
            <w:shd w:val="clear" w:color="auto" w:fill="FFFFFF"/>
            <w:vAlign w:val="bottom"/>
          </w:tcPr>
          <w:p>
            <w:pPr>
              <w:pStyle w:val="33"/>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预算执行率扣2.38分</w:t>
            </w:r>
          </w:p>
        </w:tc>
      </w:tr>
      <w:tr>
        <w:tblPrEx>
          <w:tblLayout w:type="fixed"/>
          <w:tblCellMar>
            <w:top w:w="0" w:type="dxa"/>
            <w:left w:w="10" w:type="dxa"/>
            <w:bottom w:w="0" w:type="dxa"/>
            <w:right w:w="10" w:type="dxa"/>
          </w:tblCellMar>
        </w:tblPrEx>
        <w:trPr>
          <w:trHeight w:val="1688" w:hRule="exact"/>
          <w:jc w:val="center"/>
        </w:trPr>
        <w:tc>
          <w:tcPr>
            <w:tcW w:w="1447" w:type="dxa"/>
            <w:tcBorders>
              <w:top w:val="single" w:color="auto" w:sz="4" w:space="0"/>
              <w:left w:val="single" w:color="auto" w:sz="4" w:space="0"/>
            </w:tcBorders>
            <w:shd w:val="clear" w:color="auto" w:fill="FFFFFF"/>
            <w:vAlign w:val="center"/>
          </w:tcPr>
          <w:p>
            <w:pPr>
              <w:pStyle w:val="33"/>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产出</w:t>
            </w:r>
          </w:p>
        </w:tc>
        <w:tc>
          <w:tcPr>
            <w:tcW w:w="2045" w:type="dxa"/>
            <w:tcBorders>
              <w:top w:val="single" w:color="auto" w:sz="4" w:space="0"/>
              <w:left w:val="single" w:color="auto" w:sz="4" w:space="0"/>
            </w:tcBorders>
            <w:shd w:val="clear" w:color="auto" w:fill="FFFFFF"/>
            <w:vAlign w:val="center"/>
          </w:tcPr>
          <w:p>
            <w:pPr>
              <w:pStyle w:val="33"/>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tcBorders>
            <w:shd w:val="clear" w:color="auto" w:fill="FFFFFF"/>
            <w:vAlign w:val="center"/>
          </w:tcPr>
          <w:p>
            <w:pPr>
              <w:pStyle w:val="33"/>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20.96</w:t>
            </w:r>
          </w:p>
        </w:tc>
        <w:tc>
          <w:tcPr>
            <w:tcW w:w="3866" w:type="dxa"/>
            <w:tcBorders>
              <w:top w:val="single" w:color="auto" w:sz="4" w:space="0"/>
              <w:left w:val="single" w:color="auto" w:sz="4" w:space="0"/>
              <w:right w:val="single" w:color="auto" w:sz="4" w:space="0"/>
            </w:tcBorders>
            <w:shd w:val="clear" w:color="auto" w:fill="FFFFFF"/>
            <w:vAlign w:val="center"/>
          </w:tcPr>
          <w:p>
            <w:pPr>
              <w:pStyle w:val="33"/>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数量指标扣2.56分</w:t>
            </w:r>
          </w:p>
          <w:p>
            <w:pPr>
              <w:pStyle w:val="33"/>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质量指标扣5.2分</w:t>
            </w:r>
          </w:p>
          <w:p>
            <w:pPr>
              <w:pStyle w:val="33"/>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时效指标扣1.28分</w:t>
            </w:r>
          </w:p>
        </w:tc>
      </w:tr>
      <w:tr>
        <w:tblPrEx>
          <w:tblLayout w:type="fixed"/>
          <w:tblCellMar>
            <w:top w:w="0" w:type="dxa"/>
            <w:left w:w="10" w:type="dxa"/>
            <w:bottom w:w="0" w:type="dxa"/>
            <w:right w:w="10" w:type="dxa"/>
          </w:tblCellMar>
        </w:tblPrEx>
        <w:trPr>
          <w:trHeight w:val="1132"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3"/>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效益</w:t>
            </w:r>
          </w:p>
        </w:tc>
        <w:tc>
          <w:tcPr>
            <w:tcW w:w="2045" w:type="dxa"/>
            <w:tcBorders>
              <w:top w:val="single" w:color="auto" w:sz="4" w:space="0"/>
              <w:left w:val="single" w:color="auto" w:sz="4" w:space="0"/>
              <w:bottom w:val="single" w:color="auto" w:sz="4" w:space="0"/>
            </w:tcBorders>
            <w:shd w:val="clear" w:color="auto" w:fill="FFFFFF"/>
            <w:vAlign w:val="center"/>
          </w:tcPr>
          <w:p>
            <w:pPr>
              <w:pStyle w:val="33"/>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bottom w:val="single" w:color="auto" w:sz="4" w:space="0"/>
            </w:tcBorders>
            <w:shd w:val="clear" w:color="auto" w:fill="FFFFFF"/>
            <w:vAlign w:val="center"/>
          </w:tcPr>
          <w:p>
            <w:pPr>
              <w:pStyle w:val="33"/>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效益指标扣10分</w:t>
            </w:r>
          </w:p>
          <w:p>
            <w:pPr>
              <w:pStyle w:val="2"/>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满意度指标扣10分</w:t>
            </w:r>
          </w:p>
          <w:p>
            <w:pPr>
              <w:pStyle w:val="2"/>
              <w:rPr>
                <w:rFonts w:hint="default"/>
                <w:color w:val="auto"/>
                <w:highlight w:val="none"/>
                <w:lang w:val="en-US" w:eastAsia="zh-CN"/>
              </w:rPr>
            </w:pPr>
            <w:r>
              <w:rPr>
                <w:rFonts w:hint="eastAsia" w:ascii="仿宋_GB2312" w:hAnsi="仿宋_GB2312" w:cs="仿宋_GB2312"/>
                <w:color w:val="auto"/>
                <w:sz w:val="32"/>
                <w:szCs w:val="32"/>
                <w:highlight w:val="none"/>
                <w:lang w:val="en-US" w:eastAsia="zh-CN"/>
              </w:rPr>
              <w:t>满意度指标扣</w:t>
            </w:r>
          </w:p>
        </w:tc>
      </w:tr>
      <w:tr>
        <w:tblPrEx>
          <w:tblLayout w:type="fixed"/>
          <w:tblCellMar>
            <w:top w:w="0" w:type="dxa"/>
            <w:left w:w="10" w:type="dxa"/>
            <w:bottom w:w="0" w:type="dxa"/>
            <w:right w:w="10" w:type="dxa"/>
          </w:tblCellMar>
        </w:tblPrEx>
        <w:trPr>
          <w:trHeight w:val="644"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3"/>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合计</w:t>
            </w:r>
          </w:p>
        </w:tc>
        <w:tc>
          <w:tcPr>
            <w:tcW w:w="2045" w:type="dxa"/>
            <w:tcBorders>
              <w:top w:val="single" w:color="auto" w:sz="4" w:space="0"/>
              <w:left w:val="single" w:color="auto" w:sz="4" w:space="0"/>
              <w:bottom w:val="single" w:color="auto" w:sz="4" w:space="0"/>
            </w:tcBorders>
            <w:shd w:val="clear" w:color="auto" w:fill="FFFFFF"/>
            <w:vAlign w:val="center"/>
          </w:tcPr>
          <w:p>
            <w:pPr>
              <w:pStyle w:val="33"/>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100</w:t>
            </w:r>
          </w:p>
        </w:tc>
        <w:tc>
          <w:tcPr>
            <w:tcW w:w="1951" w:type="dxa"/>
            <w:tcBorders>
              <w:top w:val="single" w:color="auto" w:sz="4" w:space="0"/>
              <w:left w:val="single" w:color="auto" w:sz="4" w:space="0"/>
              <w:bottom w:val="single" w:color="auto" w:sz="4" w:space="0"/>
            </w:tcBorders>
            <w:shd w:val="clear" w:color="auto" w:fill="FFFFFF"/>
            <w:vAlign w:val="center"/>
          </w:tcPr>
          <w:p>
            <w:pPr>
              <w:pStyle w:val="33"/>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68.58</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bl>
    <w:p>
      <w:pPr>
        <w:snapToGrid w:val="0"/>
        <w:spacing w:line="560" w:lineRule="exact"/>
        <w:ind w:firstLine="482" w:firstLineChars="150"/>
        <w:jc w:val="left"/>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（二）评价结论</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2024年车辆购置税收入补助地方（第一批）用于普通省道及农村公路建设“以奖代补”资金项目</w:t>
      </w:r>
      <w:r>
        <w:rPr>
          <w:rFonts w:hint="eastAsia" w:ascii="仿宋_GB2312" w:hAnsi="仿宋_GB2312" w:cs="仿宋_GB2312"/>
          <w:color w:val="auto"/>
          <w:sz w:val="32"/>
          <w:szCs w:val="32"/>
          <w:highlight w:val="none"/>
        </w:rPr>
        <w:t>资金达到了年初设立的绩效目标，在实施过程中取得了良好的成效，具体表现在以下几点：</w:t>
      </w:r>
    </w:p>
    <w:p>
      <w:pPr>
        <w:snapToGrid w:val="0"/>
        <w:spacing w:line="560" w:lineRule="exact"/>
        <w:ind w:firstLine="640" w:firstLineChars="200"/>
        <w:jc w:val="left"/>
        <w:rPr>
          <w:rFonts w:hint="eastAsia" w:ascii="仿宋_GB2312" w:hAnsi="仿宋_GB2312" w:cs="仿宋_GB2312"/>
          <w:color w:val="auto"/>
          <w:sz w:val="32"/>
          <w:szCs w:val="32"/>
          <w:highlight w:val="none"/>
          <w:lang w:eastAsia="zh-CN"/>
        </w:rPr>
      </w:pPr>
      <w:r>
        <w:rPr>
          <w:rFonts w:hint="eastAsia" w:ascii="仿宋_GB2312" w:hAnsi="仿宋_GB2312" w:cs="仿宋_GB2312"/>
          <w:color w:val="auto"/>
          <w:sz w:val="32"/>
          <w:szCs w:val="32"/>
          <w:highlight w:val="none"/>
        </w:rPr>
        <w:t>通过本项目的实施202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年已完成年度全市社会累计改建农村公路里程数76.45公里等工作；通过该项目的实施改造农村公路，完成“十四五”现代综合交通运输体系发展规划范围内的综合交通，公路等年度建设任务</w:t>
      </w:r>
      <w:r>
        <w:rPr>
          <w:rFonts w:hint="eastAsia" w:ascii="仿宋_GB2312" w:hAnsi="仿宋_GB2312" w:cs="仿宋_GB2312"/>
          <w:color w:val="auto"/>
          <w:sz w:val="32"/>
          <w:szCs w:val="32"/>
          <w:highlight w:val="none"/>
          <w:lang w:eastAsia="zh-CN"/>
        </w:rPr>
        <w:t>。</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全年</w:t>
      </w:r>
      <w:r>
        <w:rPr>
          <w:rFonts w:hint="eastAsia" w:ascii="仿宋_GB2312" w:hAnsi="仿宋" w:cs="宋体"/>
          <w:color w:val="auto"/>
          <w:kern w:val="0"/>
          <w:sz w:val="32"/>
          <w:szCs w:val="32"/>
          <w:highlight w:val="none"/>
          <w:lang w:eastAsia="zh-CN"/>
        </w:rPr>
        <w:t>2024年车辆购置税收入补助地方（第一批）用于普通省道及农村公路建设“以奖代补”资金项目</w:t>
      </w:r>
      <w:r>
        <w:rPr>
          <w:rFonts w:hint="eastAsia" w:ascii="仿宋_GB2312" w:hAnsi="仿宋_GB2312" w:cs="仿宋_GB2312"/>
          <w:color w:val="auto"/>
          <w:sz w:val="32"/>
          <w:szCs w:val="32"/>
          <w:highlight w:val="none"/>
        </w:rPr>
        <w:t>支出共计</w:t>
      </w:r>
      <w:r>
        <w:rPr>
          <w:rFonts w:hint="eastAsia" w:ascii="仿宋_GB2312" w:hAnsi="仿宋_GB2312" w:cs="仿宋_GB2312"/>
          <w:color w:val="auto"/>
          <w:sz w:val="32"/>
          <w:szCs w:val="32"/>
          <w:highlight w:val="none"/>
          <w:lang w:val="en-US" w:eastAsia="zh-CN"/>
        </w:rPr>
        <w:t>890.19</w:t>
      </w:r>
      <w:r>
        <w:rPr>
          <w:rFonts w:hint="eastAsia" w:ascii="仿宋_GB2312" w:hAnsi="仿宋_GB2312" w:cs="仿宋_GB2312"/>
          <w:color w:val="auto"/>
          <w:sz w:val="32"/>
          <w:szCs w:val="32"/>
          <w:highlight w:val="none"/>
        </w:rPr>
        <w:t>万元，评价得分值</w:t>
      </w:r>
      <w:r>
        <w:rPr>
          <w:rFonts w:hint="eastAsia" w:ascii="仿宋_GB2312" w:hAnsi="仿宋_GB2312" w:cs="仿宋_GB2312"/>
          <w:color w:val="auto"/>
          <w:sz w:val="32"/>
          <w:szCs w:val="32"/>
          <w:highlight w:val="none"/>
          <w:lang w:val="en-US" w:eastAsia="zh-CN"/>
        </w:rPr>
        <w:t>68.58</w:t>
      </w:r>
      <w:r>
        <w:rPr>
          <w:rFonts w:hint="eastAsia" w:ascii="仿宋_GB2312" w:hAnsi="仿宋_GB2312" w:cs="仿宋_GB2312"/>
          <w:color w:val="auto"/>
          <w:sz w:val="32"/>
          <w:szCs w:val="32"/>
          <w:highlight w:val="none"/>
        </w:rPr>
        <w:t>分。</w:t>
      </w:r>
    </w:p>
    <w:p>
      <w:pPr>
        <w:snapToGrid w:val="0"/>
        <w:spacing w:line="560" w:lineRule="exact"/>
        <w:ind w:firstLine="640" w:firstLineChars="200"/>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四、绩效评价指标分析</w:t>
      </w:r>
    </w:p>
    <w:p>
      <w:pPr>
        <w:snapToGrid w:val="0"/>
        <w:spacing w:line="560" w:lineRule="exact"/>
        <w:ind w:firstLine="643" w:firstLineChars="200"/>
        <w:outlineLvl w:val="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（一）项目决策情况。</w:t>
      </w:r>
    </w:p>
    <w:p>
      <w:pPr>
        <w:pStyle w:val="27"/>
        <w:spacing w:line="560" w:lineRule="exact"/>
        <w:ind w:firstLine="64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本项目的立项符合相关法规政策及部门职责，依据充分；项目严格按照规定的程序申请设立；审批文件、材料符合相关要求；项目前期已经过必要的可行性研究、专家论证、风险评估、绩效评估、集体决策。</w:t>
      </w:r>
    </w:p>
    <w:p>
      <w:pPr>
        <w:spacing w:line="560" w:lineRule="exact"/>
        <w:ind w:firstLine="640" w:firstLineChars="20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项目根据相关文件要求设置了绩效目标，项目绩效目标基本合理，绩效目标与实际工作内容相关；项目预期产出效益和效果符合正常的业绩水平；目标设置与预算确定的项目投资额或资金量相匹配。严格按照要求将项目绩效目标细化分解为具体的绩效指标并通过清晰、可衡量的指标值予以体现；与项目目标任务数或计划数相对应。</w:t>
      </w:r>
    </w:p>
    <w:p>
      <w:pPr>
        <w:snapToGrid w:val="0"/>
        <w:spacing w:line="560" w:lineRule="exact"/>
        <w:ind w:firstLine="640" w:firstLineChars="200"/>
        <w:outlineLvl w:val="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项目在资金投入方面，预算编制经过科学论证、有明确标准，资金额度与年度目标相适应，用以反映和考核项目预算编制的科学性、合理性情况。项目预算资金分配有测算依据，与补助单位或地方实际相适应。</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（二）项目过程情况。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1．资金管理</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在资金管理方面，项目资金到位足额及时，并及时支付，资金使用符合国家法规和财务管理制度；资金拨付有完整的审批程序和手续，符合项目预算批复或合同规定的用途；不存在截留、挤占、挪用、虚列支出等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2．项目实施</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（1）项目管理制度建设方面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对项目申请进行严格审核、筛选。根据拟申请预算项目，从相关性、预期绩效的可实现性、实施方案的有效性、预期绩效的可持续性及财政资金投入的可行性风险五个方面进行客观、公正的评估。</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评估结果作为申报2025年</w:t>
      </w:r>
      <w:r>
        <w:rPr>
          <w:rFonts w:hint="eastAsia" w:ascii="仿宋_GB2312" w:hAnsi="仿宋_GB2312" w:cs="仿宋_GB2312"/>
          <w:color w:val="auto"/>
          <w:sz w:val="32"/>
          <w:szCs w:val="32"/>
          <w:highlight w:val="none"/>
          <w:lang w:eastAsia="zh-CN"/>
        </w:rPr>
        <w:t>车辆购置税收入补助地方（第一批）用于普通省道及农村公路建设“以奖代补”资金项目</w:t>
      </w:r>
      <w:r>
        <w:rPr>
          <w:rFonts w:hint="eastAsia" w:ascii="仿宋_GB2312" w:hAnsi="仿宋_GB2312" w:cs="仿宋_GB2312"/>
          <w:color w:val="auto"/>
          <w:sz w:val="32"/>
          <w:szCs w:val="32"/>
          <w:highlight w:val="none"/>
        </w:rPr>
        <w:t>预算依据。继而进行该项目支出预算的编制、执行和上报等工作。在项目预算的编制工程中，坚持履行政府职能方面的轻重缓急程度进行先后排序，坚持对</w:t>
      </w:r>
      <w:r>
        <w:rPr>
          <w:rFonts w:hint="eastAsia" w:ascii="仿宋_GB2312" w:hAnsi="仿宋_GB2312" w:cs="仿宋_GB2312"/>
          <w:color w:val="auto"/>
          <w:sz w:val="32"/>
          <w:szCs w:val="32"/>
          <w:highlight w:val="none"/>
          <w:lang w:eastAsia="zh-CN"/>
        </w:rPr>
        <w:t>2024年车辆购置税收入补助地方（第一批）用于普通省道及农村公路建设“以奖代补”资金项目</w:t>
      </w:r>
      <w:r>
        <w:rPr>
          <w:rFonts w:hint="eastAsia" w:ascii="仿宋_GB2312" w:hAnsi="仿宋_GB2312" w:cs="仿宋_GB2312"/>
          <w:color w:val="auto"/>
          <w:sz w:val="32"/>
          <w:szCs w:val="32"/>
          <w:highlight w:val="none"/>
        </w:rPr>
        <w:t>先进行论证，结合论证情况编制预算，最后由预算部门结合财力情况进行预算安排或追加。</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（2）日常检查监督管理方面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完善监管规章制度。在项目预算的执行过程中，会同阿图什市财政局从资金申请、资金使用、会计核算三个环节加强资金管理。在项目资金申请环节，负责科室严格按照国库集中支付流程向市财政局申请财政资金，我局通过召开党组会议确定</w:t>
      </w:r>
      <w:r>
        <w:rPr>
          <w:rFonts w:hint="eastAsia" w:ascii="仿宋_GB2312" w:hAnsi="仿宋_GB2312" w:cs="仿宋_GB2312"/>
          <w:color w:val="auto"/>
          <w:sz w:val="32"/>
          <w:szCs w:val="32"/>
          <w:highlight w:val="none"/>
          <w:lang w:eastAsia="zh-CN"/>
        </w:rPr>
        <w:t>2024年车辆购置税收入补助地方（第一批）用于普通省道及农村公路建设“以奖代补”资金项目</w:t>
      </w:r>
      <w:r>
        <w:rPr>
          <w:rFonts w:hint="eastAsia" w:ascii="仿宋_GB2312" w:hAnsi="仿宋_GB2312" w:cs="仿宋_GB2312"/>
          <w:color w:val="auto"/>
          <w:sz w:val="32"/>
          <w:szCs w:val="32"/>
          <w:highlight w:val="none"/>
        </w:rPr>
        <w:t>组织形式，明确了该项目经费的开支范围为</w:t>
      </w:r>
      <w:r>
        <w:rPr>
          <w:rFonts w:hint="eastAsia" w:ascii="仿宋_GB2312" w:hAnsi="仿宋_GB2312" w:cs="仿宋_GB2312"/>
          <w:color w:val="auto"/>
          <w:sz w:val="32"/>
          <w:szCs w:val="32"/>
          <w:highlight w:val="none"/>
          <w:lang w:eastAsia="zh-CN"/>
        </w:rPr>
        <w:t>普通省道及农村公路建设“以奖代补”资金</w:t>
      </w:r>
      <w:r>
        <w:rPr>
          <w:rFonts w:hint="eastAsia" w:ascii="仿宋_GB2312" w:hAnsi="仿宋_GB2312" w:cs="仿宋_GB2312"/>
          <w:color w:val="auto"/>
          <w:sz w:val="32"/>
          <w:szCs w:val="32"/>
          <w:highlight w:val="none"/>
        </w:rPr>
        <w:t>，严格做到专款专用，责任到人。在资金使用环节，严格遵守相关规定，严格按照我局资金财务审批流程办理款项支付。在会计核算环节，对本项目资金实行单独核算，确保部门预算资金专款专用。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（3）运用财务内控系统实时监管</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年初将财政批复的部门预算资金预算指标整体导入，对预算指标按照项目分类，从数量、质量、时效、满意度等方面分别进行管理控制，监控、掌握预算实时信息，通过不定期检查预算执行情况，增强预算指标刚性。</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）依照财政资金管理制度，按照不定期检查与项目周期检查相结合的方式，对财政资金的使用情况进行监督检查。重点督查专项资金的使用进度，资金落实情况，对发现的问题，采取措施及时纠正、强化管理，</w:t>
      </w:r>
      <w:bookmarkStart w:id="0" w:name="_GoBack"/>
      <w:bookmarkEnd w:id="0"/>
      <w:r>
        <w:rPr>
          <w:rFonts w:hint="eastAsia" w:ascii="仿宋_GB2312" w:hAnsi="仿宋_GB2312" w:cs="仿宋_GB2312"/>
          <w:color w:val="auto"/>
          <w:sz w:val="32"/>
          <w:szCs w:val="32"/>
          <w:highlight w:val="none"/>
        </w:rPr>
        <w:t>确保专项资金安全使用。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2024年车辆购置税收入补助地方（第一批）用于普通省道及农村公路建设“以奖代补”资金项目</w:t>
      </w:r>
      <w:r>
        <w:rPr>
          <w:rFonts w:hint="eastAsia" w:ascii="仿宋_GB2312" w:hAnsi="仿宋_GB2312" w:cs="仿宋_GB2312"/>
          <w:color w:val="auto"/>
          <w:sz w:val="32"/>
          <w:szCs w:val="32"/>
          <w:highlight w:val="none"/>
        </w:rPr>
        <w:t>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本次评价认为：该项目组织机构设置合理，政策及管理办法基本完善，所有项目均按照流程执行，中期有检查，后期有验收。</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（三）项目产出情况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1．数量指标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color w:val="auto"/>
          <w:sz w:val="32"/>
          <w:szCs w:val="32"/>
          <w:highlight w:val="none"/>
        </w:rPr>
      </w:pPr>
      <w:r>
        <w:rPr>
          <w:rFonts w:hint="eastAsia" w:ascii="仿宋_GB2312" w:hAnsi="仿宋_GB2312" w:cs="仿宋_GB2312"/>
          <w:color w:val="auto"/>
          <w:sz w:val="32"/>
          <w:szCs w:val="32"/>
          <w:highlight w:val="none"/>
        </w:rPr>
        <w:t>数量指标为年度全市社会累计改建农村公路里程数，预期指标值是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112.43公里，实际完成值是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76.45公里，指标</w:t>
      </w:r>
      <w:r>
        <w:rPr>
          <w:rFonts w:hint="eastAsia" w:ascii="仿宋_GB2312" w:hAnsi="仿宋_GB2312" w:cs="仿宋_GB2312"/>
          <w:color w:val="auto"/>
          <w:sz w:val="32"/>
          <w:szCs w:val="32"/>
          <w:highlight w:val="none"/>
          <w:lang w:val="en-US" w:eastAsia="zh-CN"/>
        </w:rPr>
        <w:t>未</w:t>
      </w:r>
      <w:r>
        <w:rPr>
          <w:rFonts w:hint="eastAsia" w:ascii="仿宋_GB2312" w:hAnsi="仿宋_GB2312" w:cs="仿宋_GB2312"/>
          <w:color w:val="auto"/>
          <w:sz w:val="32"/>
          <w:szCs w:val="32"/>
          <w:highlight w:val="none"/>
        </w:rPr>
        <w:t>达到预期目标。原因：目前项目尚未完工，因此指标存在偏差；措施：加快项目实施进度，减少偏差。</w:t>
      </w:r>
    </w:p>
    <w:p>
      <w:pPr>
        <w:numPr>
          <w:ilvl w:val="0"/>
          <w:numId w:val="3"/>
        </w:num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color w:val="auto"/>
          <w:sz w:val="32"/>
          <w:szCs w:val="32"/>
          <w:highlight w:val="none"/>
        </w:rPr>
      </w:pPr>
      <w:r>
        <w:rPr>
          <w:rFonts w:hint="eastAsia" w:ascii="仿宋_GB2312"/>
          <w:b/>
          <w:color w:val="auto"/>
          <w:sz w:val="32"/>
          <w:szCs w:val="32"/>
          <w:highlight w:val="none"/>
        </w:rPr>
        <w:t>质量指标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质量指标为项目资金使用合规率，预期指标值是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52.4%，</w:t>
      </w:r>
      <w:r>
        <w:rPr>
          <w:rFonts w:hint="eastAsia" w:ascii="仿宋_GB2312" w:hAnsi="仿宋_GB2312" w:cs="仿宋_GB2312"/>
          <w:color w:val="auto"/>
          <w:sz w:val="32"/>
          <w:szCs w:val="32"/>
          <w:highlight w:val="none"/>
        </w:rPr>
        <w:t>指标</w:t>
      </w:r>
      <w:r>
        <w:rPr>
          <w:rFonts w:hint="eastAsia" w:ascii="仿宋_GB2312" w:hAnsi="仿宋_GB2312" w:cs="仿宋_GB2312"/>
          <w:color w:val="auto"/>
          <w:sz w:val="32"/>
          <w:szCs w:val="32"/>
          <w:highlight w:val="none"/>
          <w:lang w:val="en-US" w:eastAsia="zh-CN"/>
        </w:rPr>
        <w:t>未</w:t>
      </w:r>
      <w:r>
        <w:rPr>
          <w:rFonts w:hint="eastAsia" w:ascii="仿宋_GB2312" w:hAnsi="仿宋_GB2312" w:cs="仿宋_GB2312"/>
          <w:color w:val="auto"/>
          <w:sz w:val="32"/>
          <w:szCs w:val="32"/>
          <w:highlight w:val="none"/>
        </w:rPr>
        <w:t>达到预期目标。原因：目前项目尚未完工，因此指标存在偏差；措施：加快项目实施进度，减少偏差。</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质量指标为项目验收合格率，预期指标值是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0%，</w:t>
      </w:r>
      <w:r>
        <w:rPr>
          <w:rFonts w:hint="eastAsia" w:ascii="仿宋_GB2312" w:hAnsi="仿宋_GB2312" w:cs="仿宋_GB2312"/>
          <w:color w:val="auto"/>
          <w:sz w:val="32"/>
          <w:szCs w:val="32"/>
          <w:highlight w:val="none"/>
        </w:rPr>
        <w:t>指标</w:t>
      </w:r>
      <w:r>
        <w:rPr>
          <w:rFonts w:hint="eastAsia" w:ascii="仿宋_GB2312" w:hAnsi="仿宋_GB2312" w:cs="仿宋_GB2312"/>
          <w:color w:val="auto"/>
          <w:sz w:val="32"/>
          <w:szCs w:val="32"/>
          <w:highlight w:val="none"/>
          <w:lang w:val="en-US" w:eastAsia="zh-CN"/>
        </w:rPr>
        <w:t>未</w:t>
      </w:r>
      <w:r>
        <w:rPr>
          <w:rFonts w:hint="eastAsia" w:ascii="仿宋_GB2312" w:hAnsi="仿宋_GB2312" w:cs="仿宋_GB2312"/>
          <w:color w:val="auto"/>
          <w:sz w:val="32"/>
          <w:szCs w:val="32"/>
          <w:highlight w:val="none"/>
        </w:rPr>
        <w:t>达到预期目标。原因：目前项目尚未完工，因此指标存在偏差；措施：加快项目实施进度，减少偏差。</w:t>
      </w:r>
    </w:p>
    <w:p>
      <w:pPr>
        <w:numPr>
          <w:ilvl w:val="0"/>
          <w:numId w:val="3"/>
        </w:num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ascii="仿宋_GB2312"/>
          <w:color w:val="auto"/>
          <w:sz w:val="32"/>
          <w:szCs w:val="32"/>
          <w:highlight w:val="none"/>
        </w:rPr>
      </w:pPr>
      <w:r>
        <w:rPr>
          <w:rFonts w:hint="eastAsia" w:ascii="仿宋_GB2312"/>
          <w:b/>
          <w:color w:val="auto"/>
          <w:sz w:val="32"/>
          <w:szCs w:val="32"/>
          <w:highlight w:val="none"/>
        </w:rPr>
        <w:t>时效指标</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0" w:leftChars="0" w:firstLine="640" w:firstLineChars="200"/>
        <w:textAlignment w:val="auto"/>
        <w:rPr>
          <w:rFonts w:hint="eastAsia" w:ascii="仿宋_GB2312"/>
          <w:color w:val="auto"/>
          <w:sz w:val="32"/>
          <w:szCs w:val="32"/>
          <w:highlight w:val="none"/>
        </w:rPr>
      </w:pPr>
      <w:r>
        <w:rPr>
          <w:rFonts w:hint="eastAsia" w:ascii="仿宋_GB2312"/>
          <w:color w:val="auto"/>
          <w:sz w:val="32"/>
          <w:szCs w:val="32"/>
          <w:highlight w:val="none"/>
        </w:rPr>
        <w:t>时效指标为项目完成时间，预期指标值是2024年12月，实际完成值是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2024年12月，指标达到预期目标。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时效指标为项目完成及时率，预期指标值是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68%，</w:t>
      </w:r>
      <w:r>
        <w:rPr>
          <w:rFonts w:hint="eastAsia" w:ascii="仿宋_GB2312" w:hAnsi="仿宋_GB2312" w:cs="仿宋_GB2312"/>
          <w:color w:val="auto"/>
          <w:sz w:val="32"/>
          <w:szCs w:val="32"/>
          <w:highlight w:val="none"/>
        </w:rPr>
        <w:t>指标未达到预期目标。原因：目前项目尚未完工，因此指标存在偏差；措施：加快项目实施进度，减少偏差。</w:t>
      </w:r>
    </w:p>
    <w:p>
      <w:pPr>
        <w:spacing w:line="560" w:lineRule="exact"/>
        <w:ind w:firstLine="643" w:firstLineChars="200"/>
        <w:rPr>
          <w:rFonts w:hint="eastAsia" w:ascii="仿宋_GB2312"/>
          <w:b/>
          <w:color w:val="auto"/>
          <w:sz w:val="32"/>
          <w:szCs w:val="32"/>
          <w:highlight w:val="none"/>
        </w:rPr>
      </w:pPr>
      <w:r>
        <w:rPr>
          <w:rFonts w:hint="eastAsia" w:ascii="仿宋_GB2312"/>
          <w:b/>
          <w:color w:val="auto"/>
          <w:sz w:val="32"/>
          <w:szCs w:val="32"/>
          <w:highlight w:val="none"/>
        </w:rPr>
        <w:t>4．成本指标</w:t>
      </w:r>
    </w:p>
    <w:p>
      <w:pPr>
        <w:spacing w:line="560" w:lineRule="exact"/>
        <w:ind w:firstLine="640" w:firstLineChars="200"/>
        <w:rPr>
          <w:rFonts w:ascii="仿宋_GB2312"/>
          <w:color w:val="auto"/>
          <w:sz w:val="32"/>
          <w:szCs w:val="32"/>
          <w:highlight w:val="none"/>
        </w:rPr>
      </w:pPr>
      <w:r>
        <w:rPr>
          <w:rFonts w:hint="eastAsia" w:ascii="仿宋_GB2312"/>
          <w:color w:val="auto"/>
          <w:sz w:val="32"/>
          <w:szCs w:val="32"/>
          <w:highlight w:val="none"/>
          <w:lang w:val="en-US" w:eastAsia="zh-CN"/>
        </w:rPr>
        <w:t>无。</w:t>
      </w:r>
    </w:p>
    <w:p>
      <w:pPr>
        <w:spacing w:line="560" w:lineRule="exact"/>
        <w:ind w:firstLine="643" w:firstLineChars="200"/>
        <w:rPr>
          <w:rFonts w:ascii="楷体" w:hAnsi="楷体" w:eastAsia="楷体" w:cs="宋体"/>
          <w:b/>
          <w:color w:val="auto"/>
          <w:sz w:val="32"/>
          <w:szCs w:val="32"/>
          <w:highlight w:val="none"/>
        </w:rPr>
      </w:pPr>
      <w:r>
        <w:rPr>
          <w:rFonts w:hint="eastAsia" w:ascii="楷体" w:hAnsi="楷体" w:eastAsia="楷体" w:cs="宋体"/>
          <w:b/>
          <w:color w:val="auto"/>
          <w:sz w:val="32"/>
          <w:szCs w:val="32"/>
          <w:highlight w:val="none"/>
        </w:rPr>
        <w:t>（四）项目效益情况</w:t>
      </w:r>
    </w:p>
    <w:p>
      <w:pPr>
        <w:spacing w:line="560" w:lineRule="exact"/>
        <w:ind w:firstLine="643" w:firstLineChars="200"/>
        <w:rPr>
          <w:rFonts w:hint="eastAsia" w:ascii="仿宋_GB2312" w:hAnsi="仿宋" w:cs="宋体"/>
          <w:b/>
          <w:bCs/>
          <w:color w:val="auto"/>
          <w:sz w:val="32"/>
          <w:szCs w:val="32"/>
          <w:highlight w:val="none"/>
        </w:rPr>
      </w:pPr>
      <w:r>
        <w:rPr>
          <w:rFonts w:ascii="仿宋_GB2312" w:hAnsi="仿宋" w:cs="宋体"/>
          <w:b/>
          <w:bCs/>
          <w:color w:val="auto"/>
          <w:sz w:val="32"/>
          <w:szCs w:val="32"/>
          <w:highlight w:val="none"/>
        </w:rPr>
        <w:t xml:space="preserve"> </w:t>
      </w:r>
      <w:r>
        <w:rPr>
          <w:rFonts w:hint="eastAsia" w:ascii="仿宋_GB2312" w:hAnsi="仿宋" w:cs="宋体"/>
          <w:b/>
          <w:bCs/>
          <w:color w:val="auto"/>
          <w:sz w:val="32"/>
          <w:szCs w:val="32"/>
          <w:highlight w:val="none"/>
        </w:rPr>
        <w:t>1．经济效益指标</w:t>
      </w:r>
    </w:p>
    <w:p>
      <w:pPr>
        <w:spacing w:line="560" w:lineRule="exact"/>
        <w:ind w:firstLine="640" w:firstLineChars="200"/>
        <w:rPr>
          <w:rFonts w:hint="eastAsia" w:ascii="仿宋_GB2312" w:hAnsi="仿宋" w:cs="宋体"/>
          <w:bCs/>
          <w:color w:val="auto"/>
          <w:sz w:val="32"/>
          <w:szCs w:val="32"/>
          <w:highlight w:val="none"/>
          <w:lang w:val="en-US" w:eastAsia="zh-CN"/>
        </w:rPr>
      </w:pPr>
      <w:r>
        <w:rPr>
          <w:rFonts w:hint="eastAsia" w:ascii="仿宋_GB2312" w:hAnsi="仿宋" w:cs="宋体"/>
          <w:bCs/>
          <w:color w:val="auto"/>
          <w:sz w:val="32"/>
          <w:szCs w:val="32"/>
          <w:highlight w:val="none"/>
          <w:lang w:val="en-US" w:eastAsia="zh-CN"/>
        </w:rPr>
        <w:t>无。</w:t>
      </w:r>
    </w:p>
    <w:p>
      <w:pPr>
        <w:spacing w:line="560" w:lineRule="exact"/>
        <w:ind w:firstLine="643" w:firstLineChars="200"/>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2．社会效益指标</w:t>
      </w:r>
    </w:p>
    <w:p>
      <w:pPr>
        <w:spacing w:line="560" w:lineRule="exact"/>
        <w:ind w:firstLine="640" w:firstLineChars="200"/>
        <w:rPr>
          <w:rFonts w:hint="eastAsia" w:ascii="仿宋_GB2312" w:eastAsia="仿宋_GB2312"/>
          <w:color w:val="auto"/>
          <w:sz w:val="32"/>
          <w:szCs w:val="32"/>
          <w:highlight w:val="none"/>
          <w:lang w:val="en-US" w:eastAsia="zh-CN"/>
        </w:rPr>
      </w:pPr>
      <w:r>
        <w:rPr>
          <w:rFonts w:hint="eastAsia" w:ascii="仿宋_GB2312" w:hAnsi="仿宋" w:cs="宋体"/>
          <w:bCs/>
          <w:color w:val="auto"/>
          <w:sz w:val="32"/>
          <w:szCs w:val="32"/>
          <w:highlight w:val="none"/>
        </w:rPr>
        <w:t>项目实施产生的社会效益</w:t>
      </w:r>
      <w:r>
        <w:rPr>
          <w:rFonts w:hint="eastAsia" w:ascii="仿宋_GB2312"/>
          <w:color w:val="auto"/>
          <w:sz w:val="32"/>
          <w:szCs w:val="32"/>
          <w:highlight w:val="none"/>
        </w:rPr>
        <w:t>指标</w:t>
      </w:r>
      <w:r>
        <w:rPr>
          <w:rFonts w:hint="eastAsia" w:ascii="仿宋_GB2312"/>
          <w:color w:val="auto"/>
          <w:sz w:val="32"/>
          <w:szCs w:val="32"/>
          <w:highlight w:val="none"/>
          <w:lang w:val="en-US" w:eastAsia="zh-CN"/>
        </w:rPr>
        <w:t>为提升基本公共服务水平，预期指标值是有效提升，实际完成值是实现程度较低，指标未达到预期目标。原因：目前项目尚未完工，因此指标存在偏差；措施：加快项目实施进度，减少偏差。</w:t>
      </w:r>
    </w:p>
    <w:p>
      <w:pPr>
        <w:spacing w:line="560" w:lineRule="exact"/>
        <w:ind w:firstLine="643" w:firstLineChars="200"/>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3．生态效益指标</w:t>
      </w:r>
    </w:p>
    <w:p>
      <w:pPr>
        <w:spacing w:line="560" w:lineRule="exact"/>
        <w:ind w:firstLine="640" w:firstLineChars="200"/>
        <w:rPr>
          <w:rFonts w:hint="eastAsia" w:ascii="仿宋_GB2312"/>
          <w:color w:val="auto"/>
          <w:sz w:val="32"/>
          <w:szCs w:val="32"/>
          <w:highlight w:val="none"/>
        </w:rPr>
      </w:pPr>
      <w:r>
        <w:rPr>
          <w:rFonts w:hint="eastAsia" w:ascii="仿宋_GB2312" w:hAnsi="仿宋" w:cs="宋体"/>
          <w:bCs/>
          <w:color w:val="auto"/>
          <w:sz w:val="32"/>
          <w:szCs w:val="32"/>
          <w:highlight w:val="none"/>
        </w:rPr>
        <w:t>项目实施产生的生态效益</w:t>
      </w:r>
      <w:r>
        <w:rPr>
          <w:rFonts w:hint="eastAsia" w:ascii="仿宋_GB2312"/>
          <w:color w:val="auto"/>
          <w:sz w:val="32"/>
          <w:szCs w:val="32"/>
          <w:highlight w:val="none"/>
        </w:rPr>
        <w:t>指标为交通建设符合环评审批要求合格率，预期指标值是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100%，指标达到预期目标。</w:t>
      </w:r>
    </w:p>
    <w:p>
      <w:pPr>
        <w:keepNext w:val="0"/>
        <w:keepLines w:val="0"/>
        <w:pageBreakBefore w:val="0"/>
        <w:widowControl w:val="0"/>
        <w:kinsoku/>
        <w:wordWrap/>
        <w:overflowPunct/>
        <w:topLinePunct w:val="0"/>
        <w:autoSpaceDE/>
        <w:bidi w:val="0"/>
        <w:adjustRightInd/>
        <w:snapToGrid/>
        <w:spacing w:line="560" w:lineRule="exact"/>
        <w:ind w:firstLine="643" w:firstLineChars="200"/>
        <w:contextualSpacing/>
        <w:textAlignment w:val="auto"/>
        <w:rPr>
          <w:rFonts w:hint="eastAsia" w:ascii="楷体" w:hAnsi="楷体" w:eastAsia="楷体" w:cs="宋体"/>
          <w:b/>
          <w:color w:val="auto"/>
          <w:sz w:val="32"/>
          <w:szCs w:val="32"/>
          <w:highlight w:val="none"/>
        </w:rPr>
      </w:pPr>
      <w:r>
        <w:rPr>
          <w:rFonts w:hint="eastAsia" w:ascii="楷体" w:hAnsi="楷体" w:eastAsia="楷体" w:cs="宋体"/>
          <w:b/>
          <w:color w:val="auto"/>
          <w:sz w:val="32"/>
          <w:szCs w:val="32"/>
          <w:highlight w:val="none"/>
          <w:lang w:eastAsia="zh-CN"/>
        </w:rPr>
        <w:t>（</w:t>
      </w:r>
      <w:r>
        <w:rPr>
          <w:rFonts w:hint="eastAsia" w:ascii="楷体" w:hAnsi="楷体" w:eastAsia="楷体" w:cs="宋体"/>
          <w:b/>
          <w:color w:val="auto"/>
          <w:sz w:val="32"/>
          <w:szCs w:val="32"/>
          <w:highlight w:val="none"/>
          <w:lang w:val="en-US" w:eastAsia="zh-CN"/>
        </w:rPr>
        <w:t>五</w:t>
      </w:r>
      <w:r>
        <w:rPr>
          <w:rFonts w:hint="eastAsia" w:ascii="楷体" w:hAnsi="楷体" w:eastAsia="楷体" w:cs="宋体"/>
          <w:b/>
          <w:color w:val="auto"/>
          <w:sz w:val="32"/>
          <w:szCs w:val="32"/>
          <w:highlight w:val="none"/>
          <w:lang w:eastAsia="zh-CN"/>
        </w:rPr>
        <w:t>）</w:t>
      </w:r>
      <w:r>
        <w:rPr>
          <w:rFonts w:hint="eastAsia" w:ascii="楷体" w:hAnsi="楷体" w:eastAsia="楷体" w:cs="宋体"/>
          <w:b/>
          <w:color w:val="auto"/>
          <w:sz w:val="32"/>
          <w:szCs w:val="32"/>
          <w:highlight w:val="none"/>
        </w:rPr>
        <w:t>满意度指标完成情况分析</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满意度指标为服务对象满意度，预期指标值是</w:t>
      </w:r>
      <w:r>
        <w:rPr>
          <w:rFonts w:hint="eastAsia" w:ascii="仿宋_GB2312"/>
          <w:color w:val="auto"/>
          <w:sz w:val="32"/>
          <w:szCs w:val="32"/>
          <w:highlight w:val="none"/>
          <w:lang w:eastAsia="zh-CN"/>
        </w:rPr>
        <w:t>大于等于</w:t>
      </w:r>
      <w:r>
        <w:rPr>
          <w:rFonts w:hint="eastAsia" w:ascii="仿宋_GB2312"/>
          <w:color w:val="auto"/>
          <w:sz w:val="32"/>
          <w:szCs w:val="32"/>
          <w:highlight w:val="none"/>
        </w:rPr>
        <w:t>90%，实际完成值是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0%，指标未达到预期目标。原因：目前项目尚未完工，因此指标存在偏差；措施：加快项目实施进度，减少偏差。</w:t>
      </w:r>
    </w:p>
    <w:p>
      <w:pPr>
        <w:pStyle w:val="5"/>
        <w:spacing w:before="0" w:beforeAutospacing="0" w:after="0" w:afterAutospacing="0" w:line="560" w:lineRule="exact"/>
        <w:ind w:firstLine="640" w:firstLineChars="200"/>
        <w:jc w:val="both"/>
        <w:rPr>
          <w:rFonts w:ascii="黑体" w:hAnsi="黑体" w:eastAsia="黑体" w:cs="仿宋_GB2312"/>
          <w:b w:val="0"/>
          <w:bCs w:val="0"/>
          <w:color w:val="auto"/>
          <w:kern w:val="2"/>
          <w:sz w:val="32"/>
          <w:szCs w:val="32"/>
          <w:highlight w:val="none"/>
        </w:rPr>
      </w:pPr>
      <w:r>
        <w:rPr>
          <w:rFonts w:hint="default" w:ascii="黑体" w:hAnsi="黑体" w:eastAsia="黑体" w:cs="仿宋_GB2312"/>
          <w:b w:val="0"/>
          <w:bCs w:val="0"/>
          <w:color w:val="auto"/>
          <w:kern w:val="2"/>
          <w:sz w:val="32"/>
          <w:szCs w:val="32"/>
          <w:highlight w:val="none"/>
        </w:rPr>
        <w:t>五、主要经验及做法、存在的问题及原因分析</w:t>
      </w:r>
    </w:p>
    <w:p>
      <w:pPr>
        <w:spacing w:line="560" w:lineRule="exact"/>
        <w:ind w:firstLine="643" w:firstLineChars="200"/>
        <w:rPr>
          <w:rFonts w:ascii="楷体" w:hAnsi="楷体" w:eastAsia="楷体"/>
          <w:b/>
          <w:bCs/>
          <w:color w:val="auto"/>
          <w:sz w:val="32"/>
          <w:szCs w:val="32"/>
          <w:highlight w:val="none"/>
        </w:rPr>
      </w:pPr>
      <w:r>
        <w:rPr>
          <w:rFonts w:hint="eastAsia" w:ascii="楷体" w:hAnsi="楷体" w:eastAsia="楷体"/>
          <w:b/>
          <w:bCs/>
          <w:color w:val="auto"/>
          <w:sz w:val="32"/>
          <w:szCs w:val="32"/>
          <w:highlight w:val="none"/>
        </w:rPr>
        <w:t>（一）主要经验及做法</w:t>
      </w:r>
    </w:p>
    <w:p>
      <w:pPr>
        <w:pStyle w:val="30"/>
        <w:keepNext w:val="0"/>
        <w:keepLines w:val="0"/>
        <w:numPr>
          <w:ilvl w:val="0"/>
          <w:numId w:val="0"/>
        </w:numPr>
        <w:spacing w:before="0" w:after="0" w:line="560" w:lineRule="exact"/>
        <w:ind w:firstLine="640" w:firstLineChars="200"/>
        <w:rPr>
          <w:rFonts w:hint="eastAsia"/>
          <w:b w:val="0"/>
          <w:color w:val="auto"/>
          <w:highlight w:val="none"/>
        </w:rPr>
      </w:pPr>
      <w:r>
        <w:rPr>
          <w:rFonts w:hint="eastAsia"/>
          <w:b w:val="0"/>
          <w:color w:val="auto"/>
          <w:highlight w:val="none"/>
        </w:rPr>
        <w:t>本项目实施效果较好的原因主要是管理制度完善、责任落实到位，跟踪考核机制完善且运行有效，在项目实施过程中创新管理办法，采用成本效益分析法、比较法、因素分析法、最低成本法使项目取得了良好的效果。</w:t>
      </w:r>
    </w:p>
    <w:p>
      <w:pPr>
        <w:spacing w:line="560" w:lineRule="exact"/>
        <w:ind w:firstLine="643" w:firstLineChars="200"/>
        <w:rPr>
          <w:rFonts w:hint="eastAsia" w:ascii="楷体" w:hAnsi="楷体" w:eastAsia="楷体"/>
          <w:b/>
          <w:bCs/>
          <w:color w:val="auto"/>
          <w:sz w:val="32"/>
          <w:szCs w:val="32"/>
          <w:highlight w:val="none"/>
        </w:rPr>
      </w:pPr>
      <w:r>
        <w:rPr>
          <w:rFonts w:hint="eastAsia" w:ascii="楷体" w:hAnsi="楷体" w:eastAsia="楷体"/>
          <w:b/>
          <w:bCs/>
          <w:color w:val="auto"/>
          <w:sz w:val="32"/>
          <w:szCs w:val="32"/>
          <w:highlight w:val="none"/>
        </w:rPr>
        <w:t>（二）存在的问题及原因分析</w:t>
      </w:r>
    </w:p>
    <w:p>
      <w:pPr>
        <w:spacing w:line="560" w:lineRule="exact"/>
        <w:ind w:firstLine="640" w:firstLineChars="200"/>
        <w:rPr>
          <w:rFonts w:hint="eastAsia" w:ascii="楷体" w:hAnsi="楷体" w:eastAsia="楷体"/>
          <w:color w:val="auto"/>
          <w:sz w:val="32"/>
          <w:szCs w:val="32"/>
          <w:highlight w:val="none"/>
        </w:rPr>
      </w:pPr>
      <w:r>
        <w:rPr>
          <w:rFonts w:hint="eastAsia"/>
          <w:color w:val="auto"/>
          <w:sz w:val="32"/>
          <w:highlight w:val="none"/>
        </w:rPr>
        <w:t>本项目全年预算数</w:t>
      </w:r>
      <w:r>
        <w:rPr>
          <w:rFonts w:hint="eastAsia"/>
          <w:color w:val="auto"/>
          <w:sz w:val="32"/>
          <w:highlight w:val="none"/>
          <w:lang w:val="en-US" w:eastAsia="zh-CN"/>
        </w:rPr>
        <w:t>1700.25</w:t>
      </w:r>
      <w:r>
        <w:rPr>
          <w:rFonts w:hint="eastAsia"/>
          <w:color w:val="auto"/>
          <w:sz w:val="32"/>
          <w:highlight w:val="none"/>
        </w:rPr>
        <w:t>万元，执行数</w:t>
      </w:r>
      <w:r>
        <w:rPr>
          <w:rFonts w:hint="eastAsia"/>
          <w:color w:val="auto"/>
          <w:sz w:val="32"/>
          <w:highlight w:val="none"/>
          <w:lang w:val="en-US" w:eastAsia="zh-CN"/>
        </w:rPr>
        <w:t>890.19</w:t>
      </w:r>
      <w:r>
        <w:rPr>
          <w:rFonts w:hint="eastAsia"/>
          <w:color w:val="auto"/>
          <w:sz w:val="32"/>
          <w:highlight w:val="none"/>
        </w:rPr>
        <w:t>万元，执行率</w:t>
      </w:r>
      <w:r>
        <w:rPr>
          <w:rFonts w:hint="eastAsia"/>
          <w:color w:val="auto"/>
          <w:sz w:val="32"/>
          <w:highlight w:val="none"/>
          <w:lang w:val="en-US" w:eastAsia="zh-CN"/>
        </w:rPr>
        <w:t>52.4</w:t>
      </w:r>
      <w:r>
        <w:rPr>
          <w:rFonts w:hint="eastAsia"/>
          <w:color w:val="auto"/>
          <w:sz w:val="32"/>
          <w:highlight w:val="none"/>
        </w:rPr>
        <w:t>%，绩效指标完成率</w:t>
      </w:r>
      <w:r>
        <w:rPr>
          <w:rFonts w:hint="eastAsia"/>
          <w:color w:val="auto"/>
          <w:sz w:val="32"/>
          <w:highlight w:val="none"/>
          <w:lang w:val="en-US" w:eastAsia="zh-CN"/>
        </w:rPr>
        <w:t>48.5</w:t>
      </w:r>
      <w:r>
        <w:rPr>
          <w:rFonts w:hint="eastAsia"/>
          <w:color w:val="auto"/>
          <w:sz w:val="32"/>
          <w:highlight w:val="none"/>
        </w:rPr>
        <w:t>%，偏差率</w:t>
      </w:r>
      <w:r>
        <w:rPr>
          <w:rFonts w:hint="eastAsia"/>
          <w:color w:val="auto"/>
          <w:sz w:val="32"/>
          <w:highlight w:val="none"/>
          <w:lang w:val="en-US" w:eastAsia="zh-CN"/>
        </w:rPr>
        <w:t>3.9</w:t>
      </w:r>
      <w:r>
        <w:rPr>
          <w:rFonts w:hint="eastAsia"/>
          <w:color w:val="auto"/>
          <w:sz w:val="32"/>
          <w:highlight w:val="none"/>
        </w:rPr>
        <w:t>%。偏差原因：目前项目尚未完工，因此指标存在偏差。</w:t>
      </w:r>
    </w:p>
    <w:p>
      <w:pPr>
        <w:pStyle w:val="30"/>
        <w:keepNext w:val="0"/>
        <w:keepLines w:val="0"/>
        <w:numPr>
          <w:ilvl w:val="0"/>
          <w:numId w:val="0"/>
        </w:numPr>
        <w:spacing w:before="0" w:after="0" w:line="560" w:lineRule="exact"/>
        <w:ind w:firstLine="640" w:firstLineChars="200"/>
        <w:rPr>
          <w:rFonts w:ascii="黑体" w:hAnsi="黑体" w:eastAsia="黑体"/>
          <w:b w:val="0"/>
          <w:bCs w:val="0"/>
          <w:color w:val="auto"/>
          <w:highlight w:val="none"/>
        </w:rPr>
      </w:pPr>
      <w:r>
        <w:rPr>
          <w:rFonts w:hint="eastAsia" w:ascii="黑体" w:hAnsi="黑体" w:eastAsia="黑体"/>
          <w:b w:val="0"/>
          <w:bCs w:val="0"/>
          <w:color w:val="auto"/>
          <w:highlight w:val="none"/>
        </w:rPr>
        <w:t>六、有关建议</w:t>
      </w:r>
    </w:p>
    <w:p>
      <w:pPr>
        <w:pStyle w:val="31"/>
        <w:keepNext w:val="0"/>
        <w:keepLines w:val="0"/>
        <w:spacing w:before="0" w:after="0" w:line="560" w:lineRule="exact"/>
        <w:ind w:firstLine="640"/>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预算编制工作，认真做好预算的编制。全面编制预算项目，优先保障固定性的、相对刚性的费用支出项目，尽量压缩变动性的、有控制空间的费用项目，进一步提高预算编制的科学性、严谨性和可控性。</w:t>
      </w:r>
    </w:p>
    <w:p>
      <w:pPr>
        <w:pStyle w:val="31"/>
        <w:keepNext w:val="0"/>
        <w:keepLines w:val="0"/>
        <w:spacing w:before="0" w:after="0" w:line="560" w:lineRule="exact"/>
        <w:ind w:firstLine="640"/>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开展进度的跟踪，确保项目绩效目标的完成。规范程序，严格把关。进一步完善项目申报、审核、公示、审批等程序，做好项目信息公开，公开内容要及时、完整、真实，确保项目公平、公开、公正。</w:t>
      </w:r>
    </w:p>
    <w:p>
      <w:pPr>
        <w:pStyle w:val="31"/>
        <w:keepNext w:val="0"/>
        <w:keepLines w:val="0"/>
        <w:spacing w:before="0" w:after="0" w:line="560" w:lineRule="exact"/>
        <w:ind w:firstLine="640"/>
        <w:rPr>
          <w:rFonts w:ascii="黑体" w:hAnsi="黑体"/>
          <w:b w:val="0"/>
          <w:color w:val="auto"/>
          <w:highlight w:val="none"/>
        </w:rPr>
      </w:pPr>
      <w:r>
        <w:rPr>
          <w:rFonts w:hint="eastAsia" w:ascii="仿宋_GB2312" w:hAnsi="仿宋" w:eastAsia="仿宋_GB2312" w:cs="宋体"/>
          <w:b w:val="0"/>
          <w:color w:val="auto"/>
          <w:kern w:val="2"/>
          <w:highlight w:val="none"/>
        </w:rPr>
        <w:t>健全制度，加强督促。针对项目实施中存在的问题，进一步完善相关制度，加强督促检查，确保质量安全和建设进度；同时及时完善资料。</w:t>
      </w:r>
    </w:p>
    <w:p>
      <w:pPr>
        <w:pStyle w:val="30"/>
        <w:keepNext w:val="0"/>
        <w:keepLines w:val="0"/>
        <w:numPr>
          <w:ilvl w:val="0"/>
          <w:numId w:val="0"/>
        </w:numPr>
        <w:spacing w:before="0" w:after="0" w:line="560" w:lineRule="exact"/>
        <w:ind w:firstLine="640" w:firstLineChars="200"/>
        <w:rPr>
          <w:rFonts w:ascii="黑体" w:hAnsi="黑体" w:eastAsia="黑体"/>
          <w:b w:val="0"/>
          <w:bCs w:val="0"/>
          <w:color w:val="auto"/>
          <w:highlight w:val="none"/>
        </w:rPr>
      </w:pPr>
      <w:r>
        <w:rPr>
          <w:rFonts w:hint="eastAsia" w:ascii="黑体" w:hAnsi="黑体" w:eastAsia="黑体"/>
          <w:b w:val="0"/>
          <w:bCs w:val="0"/>
          <w:color w:val="auto"/>
          <w:highlight w:val="none"/>
        </w:rPr>
        <w:t>七、其他需要说明的问题</w:t>
      </w:r>
    </w:p>
    <w:p>
      <w:pPr>
        <w:pStyle w:val="31"/>
        <w:keepNext w:val="0"/>
        <w:keepLines w:val="0"/>
        <w:spacing w:before="0" w:after="0" w:line="560" w:lineRule="exact"/>
        <w:ind w:firstLine="640"/>
        <w:rPr>
          <w:rFonts w:hint="eastAsia" w:ascii="仿宋_GB2312" w:hAnsi="仿宋_GB2312" w:cs="仿宋_GB2312"/>
          <w:color w:val="auto"/>
          <w:sz w:val="32"/>
          <w:szCs w:val="32"/>
          <w:highlight w:val="none"/>
        </w:rPr>
      </w:pPr>
      <w:r>
        <w:rPr>
          <w:rFonts w:hint="eastAsia" w:ascii="仿宋_GB2312" w:hAnsi="仿宋" w:eastAsia="仿宋_GB2312" w:cs="宋体"/>
          <w:b w:val="0"/>
          <w:color w:val="auto"/>
          <w:kern w:val="2"/>
          <w:highlight w:val="none"/>
          <w:lang w:val="en-US" w:eastAsia="zh-CN"/>
        </w:rPr>
        <w:t>无。</w:t>
      </w:r>
      <w:r>
        <w:br w:type="page"/>
      </w:r>
      <w:r>
        <w:rPr>
          <w:rFonts w:hint="eastAsia" w:ascii="仿宋_GB2312" w:hAnsi="仿宋_GB2312" w:cs="仿宋_GB2312"/>
          <w:color w:val="auto"/>
          <w:sz w:val="32"/>
          <w:szCs w:val="32"/>
          <w:highlight w:val="none"/>
        </w:rPr>
        <w:t>附件1</w:t>
      </w:r>
    </w:p>
    <w:p>
      <w:pPr>
        <w:spacing w:line="560" w:lineRule="exact"/>
        <w:ind w:left="600" w:leftChars="200" w:firstLine="2240" w:firstLineChars="7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绩效评价指标体系</w:t>
      </w:r>
    </w:p>
    <w:tbl>
      <w:tblPr>
        <w:tblStyle w:val="12"/>
        <w:tblW w:w="9859"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一级指标</w:t>
            </w:r>
          </w:p>
        </w:tc>
        <w:tc>
          <w:tcPr>
            <w:tcW w:w="1478"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二级指标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三级指标</w:t>
            </w:r>
          </w:p>
        </w:tc>
        <w:tc>
          <w:tcPr>
            <w:tcW w:w="388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指标解释</w:t>
            </w: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分值</w:t>
            </w:r>
          </w:p>
        </w:tc>
        <w:tc>
          <w:tcPr>
            <w:tcW w:w="874"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得分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决策</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立项依据</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充分性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项目立项是否符合法律法规、相关政策、发展规划以及部门职责，用以反映和考核项目立项依据情况。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立项程序</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规范性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项目申请、设立过程是否符合相关要求，用以反映和考核项目立项的规范情况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绩效指标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明确性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资金投入</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预算编制</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科学性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资金分配</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过程</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资金到位率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实际到位资金与预算资金的比率，用以反映和考核资金落实情况对项目实施的总体保障程度。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预算执行率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项目预算资金是否按照计划执行，用以反映或考核项目预算执行情况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tcBorders>
              <w:bottom w:val="single" w:color="auto" w:sz="4" w:space="0"/>
            </w:tcBorders>
            <w:shd w:val="clear" w:color="auto" w:fill="FFFFFF"/>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2.62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资金使用</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合规性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项目资金使用是否符合相关的财务管理制度规定，用以反映和考核项目资金的规范运行情况。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组织实施</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管理制度</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健全性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制度执行</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有效性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项目实施是否符合相关管理规定，用以反映和考核相关管理制度的有效执行情况。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w:t>
            </w: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产出数量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实际完成率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项目实施的实际产出数与计划产出数的比率，用以反映和考核项目产出数量目标的实现程度。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5.44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产出质量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质量达标率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项目完成的质量达标产出数与实际产出数的比率，用以反映和考核项目产出质量目标的实现程度。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000000" w:fill="FFFFFF"/>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1.8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产出时效</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完成及时性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项目实际完成时间与计划完成时间的比较，用以反映和考核项目产出时效目标的实现程度。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6.72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产出成本</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成本节约率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完成项目计划工作目标的实际节约成本与计划成本的比率，用以反映和考核项目的成本节约程度。</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auto" w:fill="FFFFFF"/>
            <w:vAlign w:val="center"/>
          </w:tcPr>
          <w:p>
            <w:pPr>
              <w:spacing w:line="400" w:lineRule="exact"/>
              <w:jc w:val="center"/>
              <w:rPr>
                <w:rFonts w:hint="eastAsia" w:ascii="仿宋_GB2312" w:hAnsi="仿宋_GB2312" w:eastAsia="仿宋_GB2312" w:cs="仿宋_GB2312"/>
                <w:color w:val="auto"/>
                <w:sz w:val="24"/>
                <w:highlight w:val="none"/>
                <w:lang w:eastAsia="zh-CN"/>
              </w:rPr>
            </w:pPr>
            <w:r>
              <w:rPr>
                <w:rFonts w:hint="eastAsia" w:ascii="仿宋_GB2312" w:hAnsi="仿宋_GB2312" w:cs="仿宋_GB2312"/>
                <w:color w:val="auto"/>
                <w:sz w:val="24"/>
                <w:highlight w:val="none"/>
                <w:lang w:val="en-US" w:eastAsia="zh-CN"/>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效益　</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项目效益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实施效益</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项目实施所产生的效益。</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c>
          <w:tcPr>
            <w:tcW w:w="874" w:type="dxa"/>
            <w:shd w:val="clear" w:color="auto" w:fill="FFFFFF"/>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满意度</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社会公众或服务对象对项目实施效果的满意程度。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c>
          <w:tcPr>
            <w:tcW w:w="874" w:type="dxa"/>
            <w:shd w:val="clear" w:color="000000" w:fill="FFFFFF"/>
            <w:vAlign w:val="center"/>
          </w:tcPr>
          <w:p>
            <w:pPr>
              <w:spacing w:line="400" w:lineRule="exact"/>
              <w:jc w:val="center"/>
              <w:rPr>
                <w:rFonts w:hint="eastAsia" w:ascii="仿宋_GB2312" w:hAnsi="仿宋_GB2312" w:eastAsia="仿宋_GB2312" w:cs="仿宋_GB2312"/>
                <w:color w:val="auto"/>
                <w:sz w:val="24"/>
                <w:highlight w:val="none"/>
                <w:lang w:eastAsia="zh-CN"/>
              </w:rPr>
            </w:pPr>
            <w:r>
              <w:rPr>
                <w:rFonts w:hint="eastAsia" w:ascii="仿宋_GB2312" w:hAnsi="仿宋_GB2312" w:cs="仿宋_GB2312"/>
                <w:color w:val="auto"/>
                <w:sz w:val="24"/>
                <w:highlight w:val="none"/>
                <w:lang w:val="en-US" w:eastAsia="zh-CN"/>
              </w:rPr>
              <w:t>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b/>
                <w:bCs/>
                <w:color w:val="auto"/>
                <w:kern w:val="0"/>
                <w:sz w:val="24"/>
                <w:highlight w:val="none"/>
              </w:rPr>
              <w:t>总分</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100</w:t>
            </w:r>
          </w:p>
        </w:tc>
        <w:tc>
          <w:tcPr>
            <w:tcW w:w="874" w:type="dxa"/>
            <w:shd w:val="clear" w:color="auto" w:fill="FFFFFF"/>
            <w:vAlign w:val="center"/>
          </w:tcPr>
          <w:p>
            <w:pPr>
              <w:widowControl/>
              <w:spacing w:line="400" w:lineRule="exact"/>
              <w:jc w:val="center"/>
              <w:rPr>
                <w:rFonts w:hint="default" w:ascii="仿宋_GB2312" w:hAnsi="仿宋_GB2312" w:eastAsia="仿宋_GB2312" w:cs="仿宋_GB2312"/>
                <w:color w:val="auto"/>
                <w:kern w:val="0"/>
                <w:sz w:val="24"/>
                <w:highlight w:val="none"/>
                <w:lang w:val="en-US" w:eastAsia="zh-CN"/>
              </w:rPr>
            </w:pPr>
            <w:r>
              <w:rPr>
                <w:rFonts w:hint="eastAsia" w:ascii="仿宋_GB2312" w:hAnsi="仿宋_GB2312" w:cs="仿宋_GB2312"/>
                <w:color w:val="auto"/>
                <w:kern w:val="0"/>
                <w:sz w:val="24"/>
                <w:highlight w:val="none"/>
                <w:lang w:val="en-US" w:eastAsia="zh-CN"/>
              </w:rPr>
              <w:t>68.58</w:t>
            </w:r>
          </w:p>
        </w:tc>
      </w:tr>
    </w:tbl>
    <w:p>
      <w:pPr>
        <w:spacing w:line="560" w:lineRule="exact"/>
        <w:rPr>
          <w:rFonts w:hint="eastAsia" w:ascii="仿宋_GB2312" w:hAnsi="仿宋_GB2312" w:cs="仿宋_GB2312"/>
          <w:color w:val="auto"/>
          <w:highlight w:val="none"/>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CB9759"/>
    <w:multiLevelType w:val="multilevel"/>
    <w:tmpl w:val="68CB9759"/>
    <w:lvl w:ilvl="0" w:tentative="0">
      <w:start w:val="1"/>
      <w:numFmt w:val="chineseCountingThousand"/>
      <w:pStyle w:val="30"/>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8CB9764"/>
    <w:multiLevelType w:val="singleLevel"/>
    <w:tmpl w:val="68CB9764"/>
    <w:lvl w:ilvl="0" w:tentative="0">
      <w:start w:val="3"/>
      <w:numFmt w:val="decimal"/>
      <w:suff w:val="nothing"/>
      <w:lvlText w:val="%1．"/>
      <w:lvlJc w:val="left"/>
      <w:rPr>
        <w:rFonts w:hint="default"/>
        <w:b/>
        <w:bCs/>
        <w:color w:val="auto"/>
      </w:rPr>
    </w:lvl>
  </w:abstractNum>
  <w:abstractNum w:abstractNumId="2">
    <w:nsid w:val="68CB976F"/>
    <w:multiLevelType w:val="singleLevel"/>
    <w:tmpl w:val="68CB976F"/>
    <w:lvl w:ilvl="0" w:tentative="0">
      <w:start w:val="2"/>
      <w:numFmt w:val="decimal"/>
      <w:suff w:val="nothing"/>
      <w:lvlText w:val="%1．"/>
      <w:lvlJc w:val="left"/>
      <w:rPr>
        <w:rFonts w:hint="default"/>
        <w:b/>
        <w:bC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rsids>
    <w:rsidRoot w:val="00000000"/>
    <w:rsid w:val="3CA33D1E"/>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7"/>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8"/>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2">
    <w:name w:val="heading 3"/>
    <w:basedOn w:val="1"/>
    <w:next w:val="1"/>
    <w:qFormat/>
    <w:uiPriority w:val="99"/>
    <w:pPr>
      <w:keepNext/>
      <w:keepLines/>
      <w:ind w:firstLine="883"/>
      <w:outlineLvl w:val="2"/>
    </w:pPr>
    <w:rPr>
      <w:b/>
      <w:bCs/>
      <w:kern w:val="0"/>
      <w:szCs w:val="32"/>
    </w:rPr>
  </w:style>
  <w:style w:type="paragraph" w:styleId="5">
    <w:name w:val="heading 4"/>
    <w:basedOn w:val="1"/>
    <w:next w:val="1"/>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rPr>
  </w:style>
  <w:style w:type="character" w:default="1" w:styleId="10">
    <w:name w:val="Default Paragraph Font"/>
    <w:semiHidden/>
    <w:uiPriority w:val="0"/>
  </w:style>
  <w:style w:type="table" w:default="1" w:styleId="12">
    <w:name w:val="Normal Table"/>
    <w:semiHidden/>
    <w:uiPriority w:val="0"/>
    <w:tblPr>
      <w:tblLayout w:type="fixed"/>
      <w:tblCellMar>
        <w:top w:w="0" w:type="dxa"/>
        <w:left w:w="108" w:type="dxa"/>
        <w:bottom w:w="0" w:type="dxa"/>
        <w:right w:w="108" w:type="dxa"/>
      </w:tblCellMar>
    </w:tblPr>
  </w:style>
  <w:style w:type="paragraph" w:styleId="6">
    <w:name w:val="Body Text"/>
    <w:basedOn w:val="1"/>
    <w:qFormat/>
    <w:uiPriority w:val="0"/>
  </w:style>
  <w:style w:type="paragraph" w:styleId="7">
    <w:name w:val="Balloon Text"/>
    <w:basedOn w:val="1"/>
    <w:link w:val="20"/>
    <w:uiPriority w:val="0"/>
    <w:rPr>
      <w:sz w:val="18"/>
      <w:szCs w:val="18"/>
    </w:rPr>
  </w:style>
  <w:style w:type="paragraph" w:styleId="8">
    <w:name w:val="footer"/>
    <w:basedOn w:val="1"/>
    <w:link w:val="21"/>
    <w:uiPriority w:val="0"/>
    <w:pPr>
      <w:tabs>
        <w:tab w:val="center" w:pos="4153"/>
        <w:tab w:val="right" w:pos="8306"/>
      </w:tabs>
      <w:snapToGrid w:val="0"/>
      <w:jc w:val="left"/>
    </w:pPr>
    <w:rPr>
      <w:sz w:val="18"/>
      <w:szCs w:val="18"/>
    </w:rPr>
  </w:style>
  <w:style w:type="paragraph" w:styleId="9">
    <w:name w:val="header"/>
    <w:basedOn w:val="1"/>
    <w:link w:val="22"/>
    <w:uiPriority w:val="0"/>
    <w:pPr>
      <w:pBdr>
        <w:bottom w:val="single" w:color="auto" w:sz="6" w:space="1"/>
      </w:pBdr>
      <w:tabs>
        <w:tab w:val="center" w:pos="4153"/>
        <w:tab w:val="right" w:pos="8306"/>
      </w:tabs>
      <w:snapToGrid w:val="0"/>
      <w:jc w:val="center"/>
    </w:pPr>
    <w:rPr>
      <w:sz w:val="18"/>
      <w:szCs w:val="18"/>
    </w:rPr>
  </w:style>
  <w:style w:type="character" w:styleId="11">
    <w:name w:val="Strong"/>
    <w:qFormat/>
    <w:uiPriority w:val="0"/>
    <w:rPr>
      <w:b/>
      <w:bCs/>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
    <w:name w:val="Comment Text"/>
    <w:basedOn w:val="1"/>
    <w:link w:val="19"/>
    <w:uiPriority w:val="0"/>
    <w:pPr>
      <w:jc w:val="left"/>
    </w:pPr>
  </w:style>
  <w:style w:type="paragraph" w:customStyle="1" w:styleId="15">
    <w:name w:val="Comment Subject"/>
    <w:basedOn w:val="14"/>
    <w:next w:val="14"/>
    <w:link w:val="23"/>
    <w:uiPriority w:val="0"/>
    <w:rPr>
      <w:b/>
      <w:bCs/>
    </w:rPr>
  </w:style>
  <w:style w:type="character" w:customStyle="1" w:styleId="16">
    <w:name w:val="Comment Reference"/>
    <w:uiPriority w:val="0"/>
    <w:rPr>
      <w:sz w:val="21"/>
      <w:szCs w:val="21"/>
    </w:rPr>
  </w:style>
  <w:style w:type="character" w:customStyle="1" w:styleId="17">
    <w:name w:val="标题 1 字符"/>
    <w:link w:val="3"/>
    <w:uiPriority w:val="0"/>
    <w:rPr>
      <w:rFonts w:eastAsia="仿宋_GB2312"/>
      <w:b/>
      <w:bCs/>
      <w:kern w:val="44"/>
      <w:sz w:val="44"/>
      <w:szCs w:val="44"/>
    </w:rPr>
  </w:style>
  <w:style w:type="character" w:customStyle="1" w:styleId="18">
    <w:name w:val="标题 2 字符"/>
    <w:link w:val="4"/>
    <w:semiHidden/>
    <w:uiPriority w:val="0"/>
    <w:rPr>
      <w:rFonts w:ascii="Cambria" w:hAnsi="Cambria" w:eastAsia="宋体" w:cs="Times New Roman"/>
      <w:b/>
      <w:bCs/>
      <w:kern w:val="2"/>
      <w:sz w:val="32"/>
      <w:szCs w:val="32"/>
    </w:rPr>
  </w:style>
  <w:style w:type="character" w:customStyle="1" w:styleId="19">
    <w:name w:val="批注文字 字符"/>
    <w:link w:val="14"/>
    <w:uiPriority w:val="0"/>
    <w:rPr>
      <w:rFonts w:eastAsia="仿宋_GB2312"/>
      <w:kern w:val="2"/>
      <w:sz w:val="30"/>
      <w:szCs w:val="24"/>
    </w:rPr>
  </w:style>
  <w:style w:type="character" w:customStyle="1" w:styleId="20">
    <w:name w:val="批注框文本 字符"/>
    <w:link w:val="7"/>
    <w:uiPriority w:val="0"/>
    <w:rPr>
      <w:rFonts w:eastAsia="仿宋_GB2312"/>
      <w:kern w:val="2"/>
      <w:sz w:val="18"/>
      <w:szCs w:val="18"/>
    </w:rPr>
  </w:style>
  <w:style w:type="character" w:customStyle="1" w:styleId="21">
    <w:name w:val="页脚 字符"/>
    <w:link w:val="8"/>
    <w:uiPriority w:val="0"/>
    <w:rPr>
      <w:rFonts w:eastAsia="仿宋_GB2312"/>
      <w:kern w:val="2"/>
      <w:sz w:val="18"/>
      <w:szCs w:val="18"/>
    </w:rPr>
  </w:style>
  <w:style w:type="character" w:customStyle="1" w:styleId="22">
    <w:name w:val="页眉 字符"/>
    <w:link w:val="9"/>
    <w:uiPriority w:val="0"/>
    <w:rPr>
      <w:rFonts w:eastAsia="仿宋_GB2312"/>
      <w:kern w:val="2"/>
      <w:sz w:val="18"/>
      <w:szCs w:val="18"/>
    </w:rPr>
  </w:style>
  <w:style w:type="character" w:customStyle="1" w:styleId="23">
    <w:name w:val="批注主题 字符"/>
    <w:link w:val="15"/>
    <w:uiPriority w:val="0"/>
    <w:rPr>
      <w:rFonts w:eastAsia="仿宋_GB2312"/>
      <w:b/>
      <w:bCs/>
      <w:kern w:val="2"/>
      <w:sz w:val="30"/>
      <w:szCs w:val="24"/>
    </w:rPr>
  </w:style>
  <w:style w:type="character" w:customStyle="1" w:styleId="24">
    <w:name w:val="闻政-正文三级标题 Char"/>
    <w:link w:val="25"/>
    <w:uiPriority w:val="3"/>
    <w:rPr>
      <w:rFonts w:eastAsia="仿宋_GB2312"/>
      <w:b/>
      <w:snapToGrid w:val="0"/>
      <w:sz w:val="28"/>
      <w:szCs w:val="28"/>
    </w:rPr>
  </w:style>
  <w:style w:type="paragraph" w:customStyle="1" w:styleId="25">
    <w:name w:val="闻政-正文三级标题"/>
    <w:basedOn w:val="1"/>
    <w:next w:val="1"/>
    <w:link w:val="24"/>
    <w:qFormat/>
    <w:uiPriority w:val="3"/>
    <w:pPr>
      <w:widowControl/>
      <w:spacing w:before="120" w:after="60" w:line="500" w:lineRule="exact"/>
      <w:ind w:left="200" w:leftChars="200"/>
    </w:pPr>
    <w:rPr>
      <w:b/>
      <w:snapToGrid w:val="0"/>
      <w:kern w:val="0"/>
      <w:sz w:val="28"/>
      <w:szCs w:val="28"/>
    </w:rPr>
  </w:style>
  <w:style w:type="character" w:customStyle="1" w:styleId="26">
    <w:name w:val="闻政正文 Char"/>
    <w:link w:val="27"/>
    <w:qFormat/>
    <w:uiPriority w:val="0"/>
    <w:rPr>
      <w:rFonts w:eastAsia="仿宋_GB2312"/>
      <w:sz w:val="28"/>
      <w:szCs w:val="28"/>
    </w:rPr>
  </w:style>
  <w:style w:type="paragraph" w:customStyle="1" w:styleId="27">
    <w:name w:val="闻政正文"/>
    <w:basedOn w:val="1"/>
    <w:link w:val="26"/>
    <w:qFormat/>
    <w:uiPriority w:val="0"/>
    <w:pPr>
      <w:spacing w:line="500" w:lineRule="exact"/>
      <w:ind w:firstLine="560" w:firstLineChars="200"/>
    </w:pPr>
    <w:rPr>
      <w:kern w:val="0"/>
      <w:sz w:val="28"/>
      <w:szCs w:val="28"/>
    </w:rPr>
  </w:style>
  <w:style w:type="character" w:customStyle="1" w:styleId="28">
    <w:name w:val="Body text|1_"/>
    <w:link w:val="29"/>
    <w:uiPriority w:val="0"/>
    <w:rPr>
      <w:rFonts w:ascii="宋体" w:hAnsi="宋体" w:cs="宋体"/>
      <w:kern w:val="2"/>
      <w:sz w:val="30"/>
      <w:szCs w:val="30"/>
      <w:lang w:val="zh-TW" w:eastAsia="zh-TW" w:bidi="zh-TW"/>
    </w:rPr>
  </w:style>
  <w:style w:type="paragraph" w:customStyle="1" w:styleId="29">
    <w:name w:val="Body text|1"/>
    <w:basedOn w:val="1"/>
    <w:link w:val="28"/>
    <w:qFormat/>
    <w:uiPriority w:val="0"/>
    <w:pPr>
      <w:spacing w:line="420" w:lineRule="auto"/>
      <w:ind w:firstLine="400"/>
    </w:pPr>
    <w:rPr>
      <w:rFonts w:ascii="宋体" w:hAnsi="宋体" w:eastAsia="宋体" w:cs="宋体"/>
      <w:szCs w:val="30"/>
      <w:lang w:val="zh-TW" w:eastAsia="zh-TW" w:bidi="zh-TW"/>
    </w:rPr>
  </w:style>
  <w:style w:type="paragraph" w:customStyle="1" w:styleId="30">
    <w:name w:val="标题2"/>
    <w:basedOn w:val="4"/>
    <w:qFormat/>
    <w:uiPriority w:val="0"/>
    <w:pPr>
      <w:numPr>
        <w:ilvl w:val="0"/>
        <w:numId w:val="1"/>
      </w:numPr>
      <w:spacing w:before="120" w:after="120" w:line="500" w:lineRule="exact"/>
    </w:pPr>
    <w:rPr>
      <w:rFonts w:ascii="仿宋_GB2312" w:eastAsia="仿宋_GB2312" w:cs="Times New Roman"/>
    </w:rPr>
  </w:style>
  <w:style w:type="paragraph" w:customStyle="1" w:styleId="31">
    <w:name w:val="标题1"/>
    <w:basedOn w:val="3"/>
    <w:next w:val="1"/>
    <w:qFormat/>
    <w:uiPriority w:val="0"/>
    <w:pPr>
      <w:spacing w:before="120" w:after="120" w:line="500" w:lineRule="exact"/>
      <w:ind w:firstLine="200" w:firstLineChars="200"/>
    </w:pPr>
    <w:rPr>
      <w:rFonts w:eastAsia="黑体"/>
      <w:sz w:val="32"/>
      <w:szCs w:val="32"/>
    </w:rPr>
  </w:style>
  <w:style w:type="paragraph" w:customStyle="1" w:styleId="32">
    <w:name w:val="List Paragraph"/>
    <w:basedOn w:val="1"/>
    <w:qFormat/>
    <w:uiPriority w:val="34"/>
    <w:pPr>
      <w:ind w:firstLine="420" w:firstLineChars="200"/>
    </w:pPr>
    <w:rPr>
      <w:rFonts w:ascii="Calibri" w:hAnsi="Calibri" w:eastAsia="宋体" w:cs="Times New Roman"/>
      <w:sz w:val="21"/>
      <w:szCs w:val="21"/>
    </w:rPr>
  </w:style>
  <w:style w:type="paragraph" w:customStyle="1" w:styleId="33">
    <w:name w:val="Other|1"/>
    <w:basedOn w:val="1"/>
    <w:qFormat/>
    <w:uiPriority w:val="0"/>
    <w:pPr>
      <w:spacing w:line="420" w:lineRule="auto"/>
      <w:ind w:firstLine="400"/>
    </w:pPr>
    <w:rPr>
      <w:rFonts w:ascii="宋体" w:hAnsi="宋体" w:eastAsia="宋体" w:cs="宋体"/>
      <w:szCs w:val="30"/>
      <w:lang w:val="zh-TW" w:eastAsia="zh-TW" w:bidi="zh-TW"/>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2F2ED43ABFDA4A65A41113E52D7F3445_13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eb8cfe-8111-4ad0-90db-250075b65955}">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21</Pages>
  <Words>1419</Words>
  <Characters>8090</Characters>
  <Lines>67</Lines>
  <Paragraphs>18</Paragraphs>
  <TotalTime>1</TotalTime>
  <ScaleCrop>false</ScaleCrop>
  <LinksUpToDate>false</LinksUpToDate>
  <CharactersWithSpaces>9491</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2020-05-07T10:25:00Z</dcterms:created>
  <dc:creator>chenliangpingcz</dc:creator>
  <cp:lastModifiedBy>Administrator</cp:lastModifiedBy>
  <dcterms:modified xsi:type="dcterms:W3CDTF">2025-09-18T05:23:18Z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2F2ED43ABFDA4A65A41113E52D7F3445_13</vt:lpwstr>
  </property>
  <property fmtid="{D5CDD505-2E9C-101B-9397-08002B2CF9AE}" pid="4" name="KSOTemplateDocerSaveRecord">
    <vt:lpwstr>eyJoZGlkIjoiYzZkNzQ4ZWFiZmQ4NTRhOWRkZTk3YTMwMjlmMmZhYmUiLCJ1c2VySWQiOiI1NzgxMjU4NDIifQ_x003D__x003D_</vt:lpwstr>
  </property>
</Properties>
</file>