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阿图什市松他克镇村镇规划建设发展中心（生态环境工作站）2024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宣传、贯彻、执行有关国土资源管理法律法规、方针、政策。依据上级土地利用总体规划，参与编制和实施本辖区内土地利用总体规划及其他专项规划。协助</w:t>
      </w:r>
      <w:r>
        <w:rPr>
          <w:rFonts w:hint="eastAsia" w:ascii="仿宋_GB2312" w:hAnsi="仿宋_GB2312" w:eastAsia="仿宋_GB2312"/>
          <w:sz w:val="32"/>
          <w:lang w:eastAsia="zh-CN"/>
        </w:rPr>
        <w:t>上级</w:t>
      </w:r>
      <w:r>
        <w:rPr>
          <w:rFonts w:ascii="仿宋_GB2312" w:hAnsi="仿宋_GB2312" w:eastAsia="仿宋_GB2312"/>
          <w:sz w:val="32"/>
        </w:rPr>
        <w:t>国土资源管理部门开展本辖区内的土地资源调查、土地分等定级、土地登记、土地统计、地籍档案管理和土地动态监测管理工作。完成上级业务主管部门和乡</w:t>
      </w:r>
      <w:r>
        <w:rPr>
          <w:rFonts w:hint="eastAsia" w:ascii="仿宋_GB2312" w:hAnsi="仿宋_GB2312" w:eastAsia="仿宋_GB2312"/>
          <w:sz w:val="32"/>
          <w:lang w:eastAsia="zh-CN"/>
        </w:rPr>
        <w:t>镇党委、镇政府</w:t>
      </w:r>
      <w:r>
        <w:rPr>
          <w:rFonts w:ascii="仿宋_GB2312" w:hAnsi="仿宋_GB2312" w:eastAsia="仿宋_GB2312"/>
          <w:sz w:val="32"/>
        </w:rPr>
        <w:t>安排的各项工作。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阿图什市松他克镇村镇规划建设发展中心（生态环境工作站）2024年度，实有人数27人，其中：在职人员27人，增加13人；离休人员0人，增加0人；退休人员0人</w:t>
      </w:r>
      <w:r>
        <w:rPr>
          <w:rFonts w:hint="eastAsia" w:ascii="仿宋_GB2312" w:hAnsi="仿宋_GB2312" w:eastAsia="仿宋_GB2312"/>
          <w:sz w:val="32"/>
          <w:lang w:eastAsia="zh-CN"/>
        </w:rPr>
        <w:t>，</w:t>
      </w:r>
      <w:r>
        <w:rPr>
          <w:rFonts w:ascii="仿宋_GB2312" w:hAnsi="仿宋_GB2312" w:eastAsia="仿宋_GB2312"/>
          <w:sz w:val="32"/>
        </w:rPr>
        <w:t>增加0人。</w:t>
      </w:r>
    </w:p>
    <w:p>
      <w:pPr>
        <w:spacing w:line="580" w:lineRule="exact"/>
        <w:ind w:firstLine="640"/>
        <w:jc w:val="both"/>
      </w:pPr>
      <w:r>
        <w:rPr>
          <w:rFonts w:ascii="仿宋_GB2312" w:hAnsi="仿宋_GB2312" w:eastAsia="仿宋_GB2312"/>
          <w:sz w:val="32"/>
        </w:rPr>
        <w:t>阿图什市松他克镇村镇规划建设发展中心（生态环境工作站）无下属预算单位，下设1个科室，分别是：办公室。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2024年度收入总计329.51万元，</w:t>
      </w:r>
      <w:r>
        <w:rPr>
          <w:rFonts w:ascii="仿宋_GB2312" w:hAnsi="仿宋_GB2312" w:eastAsia="仿宋_GB2312"/>
          <w:b w:val="0"/>
          <w:sz w:val="32"/>
        </w:rPr>
        <w:t>其中：本年收入合计329.51万元，使用非财政拨款结余（含专用结余）0.00万元，年初结转和结余0.00万元。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2024年度支出总计329.51万元，</w:t>
      </w:r>
      <w:r>
        <w:rPr>
          <w:rFonts w:ascii="仿宋_GB2312" w:hAnsi="仿宋_GB2312" w:eastAsia="仿宋_GB2312"/>
          <w:b w:val="0"/>
          <w:sz w:val="32"/>
        </w:rPr>
        <w:t>其中：本年支出合计329.51万元，结余分配0.00万元，年末结转和结余0.00万元。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收入支出总体与上年相比，增加124.35万元，增长60.61%，主要原因是：本年在职人员增加，在职人员工资调增、社保、公积金基数调增，人员经费增加。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本年收入329.51万元，</w:t>
      </w:r>
      <w:r>
        <w:rPr>
          <w:rFonts w:ascii="仿宋_GB2312" w:hAnsi="仿宋_GB2312" w:eastAsia="仿宋_GB2312"/>
          <w:b w:val="0"/>
          <w:sz w:val="32"/>
        </w:rPr>
        <w:t>其中：财政拨款收入329.51万元，占100.00%；上级补助收入0.00万元，占0.00%；事业收入0.00万元，占0.00%；经营收入0.00万元，占0.00%；附属单位上缴收入0.00万元，占0.00%；其他收入0.00万元，占0.00%。</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本年支出329.51万元，</w:t>
      </w:r>
      <w:r>
        <w:rPr>
          <w:rFonts w:ascii="仿宋_GB2312" w:hAnsi="仿宋_GB2312" w:eastAsia="仿宋_GB2312"/>
          <w:b w:val="0"/>
          <w:sz w:val="32"/>
        </w:rPr>
        <w:t>其中：基本支出329.51万元，占100.00%；项目支出0.00万元，占0.00%；上缴上级支出0.00万元，占0.00%；经营支出0.00万元，占0.00%；对附属单位补助支出0.00万元，占0.00%。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2024年度财政拨款收入总计329.51万元，</w:t>
      </w:r>
      <w:r>
        <w:rPr>
          <w:rFonts w:ascii="仿宋_GB2312" w:hAnsi="仿宋_GB2312" w:eastAsia="仿宋_GB2312"/>
          <w:b w:val="0"/>
          <w:sz w:val="32"/>
        </w:rPr>
        <w:t>其中：年初财政拨款结转和结余0.00万元，本年财政拨款收入329.51万元。</w:t>
      </w:r>
      <w:r>
        <w:rPr>
          <w:rFonts w:ascii="仿宋_GB2312" w:hAnsi="仿宋_GB2312" w:eastAsia="仿宋_GB2312"/>
          <w:b/>
          <w:sz w:val="32"/>
        </w:rPr>
        <w:t>财政拨款支出总计329.51万元，</w:t>
      </w:r>
      <w:r>
        <w:rPr>
          <w:rFonts w:ascii="仿宋_GB2312" w:hAnsi="仿宋_GB2312" w:eastAsia="仿宋_GB2312"/>
          <w:b w:val="0"/>
          <w:sz w:val="32"/>
        </w:rPr>
        <w:t>其中：年末财政拨款结转和结余0.00万元，本年财政拨款支出329.51万元。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增加124.35万元，增长60.61%，主要原因是：本年在职人员增加，在职人员工资调增、社保、公积金基数调增，人员经费增加。</w:t>
      </w:r>
      <w:r>
        <w:rPr>
          <w:rFonts w:ascii="仿宋_GB2312" w:hAnsi="仿宋_GB2312" w:eastAsia="仿宋_GB2312"/>
          <w:b/>
          <w:sz w:val="32"/>
        </w:rPr>
        <w:t>与年初预算相比，</w:t>
      </w:r>
      <w:r>
        <w:rPr>
          <w:rFonts w:ascii="仿宋_GB2312" w:hAnsi="仿宋_GB2312" w:eastAsia="仿宋_GB2312"/>
          <w:b w:val="0"/>
          <w:sz w:val="32"/>
        </w:rPr>
        <w:t>年初预算数216.56万元，决算数329.51万元，预决算差异率52.16%，主要原因是：本年在职人员增加，年中追加人员经费及人员工资、社保、公积金基数调增部分资金，导致预决算存在差异。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2024年度一般公共预算财政拨款支出329.51万元，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增加124.35万元，增长60.61%，主要原因是：本年在职人员增加，在职人员工资调增、社保、公积金基数调增，人员经费增加。</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年初预算数216.56万元，决算数329.51万元，预决算差异率52.16%，主要原因是：本年在职人员增加，年中追加人员经费及人员工资、社保、公积金基数调增部分资金，导致预决算存在差异。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1.社会保障和就业支出(类)32.57万元</w:t>
      </w:r>
      <w:r>
        <w:rPr>
          <w:rFonts w:hint="eastAsia" w:ascii="仿宋_GB2312" w:hAnsi="仿宋_GB2312" w:eastAsia="仿宋_GB2312"/>
          <w:b w:val="0"/>
          <w:sz w:val="32"/>
          <w:lang w:eastAsia="zh-CN"/>
        </w:rPr>
        <w:t>，</w:t>
      </w:r>
      <w:r>
        <w:rPr>
          <w:rFonts w:ascii="仿宋_GB2312" w:hAnsi="仿宋_GB2312" w:eastAsia="仿宋_GB2312"/>
          <w:b w:val="0"/>
          <w:sz w:val="32"/>
        </w:rPr>
        <w:t>占9.88%。</w:t>
      </w:r>
    </w:p>
    <w:p>
      <w:pPr>
        <w:spacing w:line="580" w:lineRule="exact"/>
        <w:ind w:firstLine="640"/>
        <w:jc w:val="both"/>
      </w:pPr>
      <w:r>
        <w:rPr>
          <w:rFonts w:ascii="仿宋_GB2312" w:hAnsi="仿宋_GB2312" w:eastAsia="仿宋_GB2312"/>
          <w:b w:val="0"/>
          <w:sz w:val="32"/>
        </w:rPr>
        <w:t>2.卫生健康支出(类)10.62万元</w:t>
      </w:r>
      <w:r>
        <w:rPr>
          <w:rFonts w:hint="eastAsia" w:ascii="仿宋_GB2312" w:hAnsi="仿宋_GB2312" w:eastAsia="仿宋_GB2312"/>
          <w:b w:val="0"/>
          <w:sz w:val="32"/>
          <w:lang w:eastAsia="zh-CN"/>
        </w:rPr>
        <w:t>，</w:t>
      </w:r>
      <w:r>
        <w:rPr>
          <w:rFonts w:ascii="仿宋_GB2312" w:hAnsi="仿宋_GB2312" w:eastAsia="仿宋_GB2312"/>
          <w:b w:val="0"/>
          <w:sz w:val="32"/>
        </w:rPr>
        <w:t>占3.22%。</w:t>
      </w:r>
    </w:p>
    <w:p>
      <w:pPr>
        <w:spacing w:line="580" w:lineRule="exact"/>
        <w:ind w:firstLine="640"/>
        <w:jc w:val="both"/>
      </w:pPr>
      <w:r>
        <w:rPr>
          <w:rFonts w:ascii="仿宋_GB2312" w:hAnsi="仿宋_GB2312" w:eastAsia="仿宋_GB2312"/>
          <w:b w:val="0"/>
          <w:sz w:val="32"/>
        </w:rPr>
        <w:t>3.自然资源海洋气象等支出(类)259.59万元</w:t>
      </w:r>
      <w:r>
        <w:rPr>
          <w:rFonts w:hint="eastAsia" w:ascii="仿宋_GB2312" w:hAnsi="仿宋_GB2312" w:eastAsia="仿宋_GB2312"/>
          <w:b w:val="0"/>
          <w:sz w:val="32"/>
          <w:lang w:eastAsia="zh-CN"/>
        </w:rPr>
        <w:t>，</w:t>
      </w:r>
      <w:r>
        <w:rPr>
          <w:rFonts w:ascii="仿宋_GB2312" w:hAnsi="仿宋_GB2312" w:eastAsia="仿宋_GB2312"/>
          <w:b w:val="0"/>
          <w:sz w:val="32"/>
        </w:rPr>
        <w:t>占78.78%。</w:t>
      </w:r>
    </w:p>
    <w:p>
      <w:pPr>
        <w:spacing w:line="580" w:lineRule="exact"/>
        <w:ind w:firstLine="640"/>
        <w:jc w:val="both"/>
      </w:pPr>
      <w:r>
        <w:rPr>
          <w:rFonts w:ascii="仿宋_GB2312" w:hAnsi="仿宋_GB2312" w:eastAsia="仿宋_GB2312"/>
          <w:b w:val="0"/>
          <w:sz w:val="32"/>
        </w:rPr>
        <w:t>4.住房保障支出(类)26.73万元</w:t>
      </w:r>
      <w:r>
        <w:rPr>
          <w:rFonts w:hint="eastAsia" w:ascii="仿宋_GB2312" w:hAnsi="仿宋_GB2312" w:eastAsia="仿宋_GB2312"/>
          <w:b w:val="0"/>
          <w:sz w:val="32"/>
          <w:lang w:eastAsia="zh-CN"/>
        </w:rPr>
        <w:t>，</w:t>
      </w:r>
      <w:r>
        <w:rPr>
          <w:rFonts w:ascii="仿宋_GB2312" w:hAnsi="仿宋_GB2312" w:eastAsia="仿宋_GB2312"/>
          <w:b w:val="0"/>
          <w:sz w:val="32"/>
        </w:rPr>
        <w:t>占8.11%。</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支出决算数为32.57万元，比上年决算增加14.44万元，增长79.65%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主要原因是：本年在职人员增加，养老保险缴费较上年增加。</w:t>
      </w:r>
    </w:p>
    <w:p>
      <w:pPr>
        <w:spacing w:line="580" w:lineRule="exact"/>
        <w:ind w:firstLine="640"/>
        <w:jc w:val="both"/>
      </w:pPr>
      <w:r>
        <w:rPr>
          <w:rFonts w:ascii="仿宋_GB2312" w:hAnsi="仿宋_GB2312" w:eastAsia="仿宋_GB2312"/>
          <w:b w:val="0"/>
          <w:sz w:val="32"/>
        </w:rPr>
        <w:t>2.卫生健康支出(类)行政事业单位医疗(款)事业单位医疗(项)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支出决算数为10.62万元，比上年决算增加4.86万元，增长84.38%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主要原因是：本年在职人员增加，事业单位医疗支出较上年增加。</w:t>
      </w:r>
    </w:p>
    <w:p>
      <w:pPr>
        <w:spacing w:line="580" w:lineRule="exact"/>
        <w:ind w:firstLine="640"/>
        <w:jc w:val="both"/>
      </w:pPr>
      <w:r>
        <w:rPr>
          <w:rFonts w:ascii="仿宋_GB2312" w:hAnsi="仿宋_GB2312" w:eastAsia="仿宋_GB2312"/>
          <w:b w:val="0"/>
          <w:sz w:val="32"/>
        </w:rPr>
        <w:t>3.自然资源海洋气象等支出(类)自然资源事务(款)其他自然资源事务支出(项)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支出决算数为259.59万元，比上年决算增加93.94万元，增长56.71%</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主要原因是：本年新增在职人员，人员经费增加，导致经费较上年有所增加。</w:t>
      </w:r>
    </w:p>
    <w:p>
      <w:pPr>
        <w:spacing w:line="580" w:lineRule="exact"/>
        <w:ind w:firstLine="640"/>
        <w:jc w:val="both"/>
      </w:pPr>
      <w:r>
        <w:rPr>
          <w:rFonts w:ascii="仿宋_GB2312" w:hAnsi="仿宋_GB2312" w:eastAsia="仿宋_GB2312"/>
          <w:b w:val="0"/>
          <w:sz w:val="32"/>
        </w:rPr>
        <w:t>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支出决算数为26.73万元，比上年决算增加11.11万元，增长71.13%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主要原因是：本年在职人员增加，住房公积金支出较上年增加。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2024年度一般公共预算财政拨款基本支出329.51万元，其中：</w:t>
      </w:r>
      <w:r>
        <w:rPr>
          <w:rFonts w:ascii="仿宋_GB2312" w:hAnsi="仿宋_GB2312" w:eastAsia="仿宋_GB2312"/>
          <w:b/>
          <w:sz w:val="32"/>
        </w:rPr>
        <w:t>人员经费327.41万元，</w:t>
      </w:r>
      <w:r>
        <w:rPr>
          <w:rFonts w:ascii="仿宋_GB2312" w:hAnsi="仿宋_GB2312" w:eastAsia="仿宋_GB2312"/>
          <w:b w:val="0"/>
          <w:sz w:val="32"/>
        </w:rPr>
        <w:t>包括：基本工资、津贴补贴、奖金、机关事业单位基本养老保险缴费、职工基本医疗保险缴费、其他社会保障缴费、住房公积金。</w:t>
      </w:r>
    </w:p>
    <w:p>
      <w:pPr>
        <w:spacing w:line="580" w:lineRule="exact"/>
        <w:ind w:firstLine="640"/>
        <w:jc w:val="both"/>
      </w:pPr>
      <w:r>
        <w:rPr>
          <w:rFonts w:ascii="仿宋_GB2312" w:hAnsi="仿宋_GB2312" w:eastAsia="仿宋_GB2312"/>
          <w:b/>
          <w:sz w:val="32"/>
        </w:rPr>
        <w:t>公用经费2.10万元，</w:t>
      </w:r>
      <w:r>
        <w:rPr>
          <w:rFonts w:ascii="仿宋_GB2312" w:hAnsi="仿宋_GB2312" w:eastAsia="仿宋_GB2312"/>
          <w:b w:val="0"/>
          <w:sz w:val="32"/>
        </w:rPr>
        <w:t>包括：办公费、邮电费。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2024年度阿图什市松他克镇村镇规划建设发展中心（生态环境工作站）（事业单位）公用经费支出2.10万元，比上年增加0.00万元，增长0.00%，主要原因是：本年公用经费与上年一致，无差异。</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w:t>
      </w:r>
      <w:bookmarkStart w:id="0" w:name="_GoBack"/>
      <w:bookmarkEnd w:id="0"/>
      <w:r>
        <w:rPr>
          <w:rFonts w:ascii="仿宋_GB2312" w:hAnsi="仿宋_GB2312" w:eastAsia="仿宋_GB2312"/>
          <w:b w:val="0"/>
          <w:sz w:val="32"/>
        </w:rPr>
        <w:t>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预算绩效项目。发现的问题及原因：本单位无预算绩效项目。下一步改进措施：本单位无预算绩效项目。</w:t>
      </w:r>
    </w:p>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pPr>
        <w:spacing w:line="580" w:lineRule="exact"/>
        <w:ind w:firstLine="640"/>
        <w:jc w:val="both"/>
      </w:pPr>
      <w:r>
        <w:rPr>
          <w:rFonts w:ascii="仿宋_GB2312" w:hAnsi="仿宋_GB2312" w:eastAsia="仿宋_GB2312"/>
          <w:b w:val="0"/>
          <w:sz w:val="32"/>
        </w:rPr>
        <w:t>本年度本单位整体绩效自评表由阿图什市松他克镇人民政府编报并公开。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7A87" w:usb1="80000000" w:usb2="00000008"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4701CA4"/>
    <w:rsid w:val="06792773"/>
    <w:rsid w:val="09A729D8"/>
    <w:rsid w:val="0A3C58E8"/>
    <w:rsid w:val="0A7B4867"/>
    <w:rsid w:val="0B8C3ECC"/>
    <w:rsid w:val="0C3613A3"/>
    <w:rsid w:val="0C7227A7"/>
    <w:rsid w:val="0DCA6EF7"/>
    <w:rsid w:val="0E4B1576"/>
    <w:rsid w:val="0EA04331"/>
    <w:rsid w:val="0F9811B3"/>
    <w:rsid w:val="11E15093"/>
    <w:rsid w:val="120E0809"/>
    <w:rsid w:val="121745D3"/>
    <w:rsid w:val="131419F8"/>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4817</Words>
  <Characters>5398</Characters>
  <Lines>0</Lines>
  <Paragraphs>0</Paragraphs>
  <TotalTime>2</TotalTime>
  <ScaleCrop>false</ScaleCrop>
  <LinksUpToDate>false</LinksUpToDate>
  <CharactersWithSpaces>5408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2025-09-19T11:54:37Z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B858A68E913346F885B5BC17D4DBEB06_13</vt:lpwstr>
  </property>
  <property fmtid="{D5CDD505-2E9C-101B-9397-08002B2CF9AE}" pid="4" name="KSOTemplateDocerSaveRecord">
    <vt:lpwstr>eyJoZGlkIjoiOTViNzA1OWY5YThmYzNkNTBiNjViMjFjMTI5MzRkMzEiLCJ1c2VySWQiOiI0MzE2NzY3NzkifQ==</vt:lpwstr>
  </property>
</Properties>
</file>