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村级运转经费（上级专项）项目支出</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lang w:val="en-US" w:eastAsia="zh-CN"/>
        </w:rPr>
      </w:pPr>
      <w:r>
        <w:rPr>
          <w:rFonts w:hint="eastAsia" w:ascii="黑体" w:hAnsi="黑体" w:eastAsia="黑体" w:cs="仿宋_GB2312"/>
          <w:color w:val="auto"/>
          <w:kern w:val="0"/>
          <w:sz w:val="32"/>
          <w:szCs w:val="32"/>
          <w:highlight w:val="none"/>
        </w:rPr>
        <w:t>项目名称：村级运转经费（上级专项）</w:t>
      </w:r>
      <w:r>
        <w:rPr>
          <w:rFonts w:hint="eastAsia" w:ascii="黑体" w:hAnsi="黑体" w:eastAsia="黑体" w:cs="仿宋_GB2312"/>
          <w:color w:val="auto"/>
          <w:kern w:val="0"/>
          <w:sz w:val="32"/>
          <w:szCs w:val="32"/>
          <w:highlight w:val="none"/>
          <w:lang w:val="en-US" w:eastAsia="zh-CN"/>
        </w:rPr>
        <w:t>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项目单位：阿图什市哈拉峻乡人民政府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主管部门：阿图什市哈拉峻乡人民政府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20</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ind w:firstLine="880" w:firstLineChars="200"/>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阿图什市哈拉峻乡人民政府支出</w:t>
      </w:r>
    </w:p>
    <w:p>
      <w:pPr>
        <w:snapToGrid w:val="0"/>
        <w:spacing w:line="560" w:lineRule="exact"/>
        <w:ind w:firstLine="880" w:firstLineChars="200"/>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为了保证地方基层组织的正常运转，更好地促进基层群众工作的协调发展。根据《关于加强村级组织运转经费保障工作的通知》《中国共产党农村基层组织工作条例》文件要求，切实保证村级工作经费，进一步落实关于保证村级工作经费规定的具体举措，由村委员会履行各项工作，并让群众工作得到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根据《哈拉峻乡关于2024年项目预算相关事宜会议纪要》，本项目资金120万元</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rPr>
        <w:t>用于各村日常运转，物资采购等支出，确保各村日常工作正常开展，</w:t>
      </w:r>
      <w:r>
        <w:rPr>
          <w:rFonts w:hint="eastAsia" w:ascii="仿宋_GB2312" w:hAnsi="仿宋_GB2312" w:cs="仿宋_GB2312"/>
          <w:color w:val="auto"/>
          <w:sz w:val="32"/>
          <w:szCs w:val="30"/>
          <w:highlight w:val="none"/>
          <w:lang w:val="en-US" w:eastAsia="zh-CN"/>
        </w:rPr>
        <w:t>提高服务</w:t>
      </w:r>
      <w:r>
        <w:rPr>
          <w:rFonts w:hint="eastAsia" w:ascii="仿宋_GB2312" w:hAnsi="仿宋_GB2312" w:cs="仿宋_GB2312"/>
          <w:color w:val="auto"/>
          <w:sz w:val="32"/>
          <w:szCs w:val="30"/>
          <w:highlight w:val="none"/>
        </w:rPr>
        <w:t>群众</w:t>
      </w:r>
      <w:r>
        <w:rPr>
          <w:rFonts w:hint="eastAsia" w:ascii="仿宋_GB2312" w:hAnsi="仿宋_GB2312" w:cs="仿宋_GB2312"/>
          <w:color w:val="auto"/>
          <w:sz w:val="32"/>
          <w:szCs w:val="30"/>
          <w:highlight w:val="none"/>
          <w:lang w:val="en-US" w:eastAsia="zh-CN"/>
        </w:rPr>
        <w:t>工作效率</w:t>
      </w:r>
      <w:r>
        <w:rPr>
          <w:rFonts w:hint="eastAsia" w:ascii="仿宋_GB2312" w:hAnsi="仿宋_GB2312" w:cs="仿宋_GB2312"/>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哈拉峻乡人民政府,实施单位为阿图什市哈拉峻乡人民政府，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本项目的实施符合《关于加强村级组织运转经费保障工作的通知》《中国共产党农村基层组织工作条例》相关政策要求，实际</w:t>
      </w:r>
      <w:r>
        <w:rPr>
          <w:rFonts w:hint="eastAsia" w:ascii="仿宋_GB2312" w:hAnsi="仿宋_GB2312" w:cs="仿宋_GB2312"/>
          <w:bCs/>
          <w:color w:val="auto"/>
          <w:sz w:val="32"/>
          <w:szCs w:val="30"/>
          <w:highlight w:val="none"/>
          <w:lang w:val="en-US" w:eastAsia="zh-CN"/>
        </w:rPr>
        <w:t>保障</w:t>
      </w:r>
      <w:r>
        <w:rPr>
          <w:rFonts w:hint="eastAsia" w:ascii="仿宋_GB2312" w:hAnsi="仿宋_GB2312" w:cs="仿宋_GB2312"/>
          <w:bCs/>
          <w:color w:val="auto"/>
          <w:sz w:val="32"/>
          <w:szCs w:val="30"/>
          <w:highlight w:val="none"/>
        </w:rPr>
        <w:t>行政村数量12个村，物资采购批次12批，水电网保障期限12个月</w:t>
      </w:r>
      <w:r>
        <w:rPr>
          <w:rFonts w:hint="eastAsia" w:ascii="仿宋_GB2312" w:hAnsi="仿宋_GB2312" w:cs="仿宋_GB2312"/>
          <w:bCs/>
          <w:color w:val="auto"/>
          <w:sz w:val="32"/>
          <w:szCs w:val="30"/>
          <w:highlight w:val="none"/>
          <w:lang w:eastAsia="zh-CN"/>
        </w:rPr>
        <w:t>，</w:t>
      </w:r>
      <w:r>
        <w:rPr>
          <w:rFonts w:hint="eastAsia" w:ascii="仿宋_GB2312" w:hAnsi="仿宋_GB2312" w:cs="仿宋_GB2312"/>
          <w:bCs/>
          <w:color w:val="auto"/>
          <w:sz w:val="32"/>
          <w:szCs w:val="30"/>
          <w:highlight w:val="none"/>
        </w:rPr>
        <w:t>确保各村日常工作正常开展，提高服务群众工作效率。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120</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color w:val="auto"/>
          <w:spacing w:val="-4"/>
          <w:sz w:val="32"/>
          <w:szCs w:val="30"/>
          <w:highlight w:val="none"/>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101.16</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84.30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物资采购成本55.918万元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水电网成本31.4782万元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b w:val="0"/>
          <w:color w:val="auto"/>
          <w:spacing w:val="-4"/>
          <w:sz w:val="32"/>
          <w:highlight w:val="none"/>
        </w:rPr>
      </w:pPr>
      <w:r>
        <w:rPr>
          <w:rStyle w:val="11"/>
          <w:rFonts w:hint="eastAsia" w:ascii="仿宋_GB2312"/>
          <w:b w:val="0"/>
          <w:color w:val="auto"/>
          <w:spacing w:val="-4"/>
          <w:sz w:val="32"/>
          <w:highlight w:val="none"/>
        </w:rPr>
        <w:t>房屋修缮及环境整治13.495万元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年度总体目标为：根据《哈拉峻乡关于2024年项目预算相关事宜会议纪要》，本项目资金120万元，用于各村日常运转，物资采购等支出，确保各村日常工作正常开展，提高服务群众工作效率。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上级专项）项目的深入调研基础上，按照《项目支出绩效评价管理办法》（财预〔2021〕10号）对于指标体系的要求和规范，建立一套适合评价村级运转经费（上级专项）项目的指标体系，从项目决策、项目过程、项目产出和项目绩效四个维度全面考察村级运转经费（上级专项）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村级运转经费（上级专项）项目属于延续项目，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ind w:firstLine="640" w:firstLineChars="200"/>
              <w:jc w:val="both"/>
              <w:rPr>
                <w:b w:val="0"/>
                <w:bCs w:val="0"/>
                <w:color w:val="auto"/>
                <w:highlight w:val="none"/>
              </w:rPr>
            </w:pPr>
            <w:r>
              <w:rPr>
                <w:rFonts w:hint="eastAsia"/>
                <w:b w:val="0"/>
                <w:bCs w:val="0"/>
                <w:color w:val="auto"/>
                <w:highlight w:val="none"/>
              </w:rPr>
              <w:t>卜爱民</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王进凯</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古丽沙依提</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阿图什市哈拉峻乡人民政府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进行项目支出部门评价各项工作数据采集，了解项目设置背景及资金使用等情况。</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组织管理、产出与效益效果。在此基础上，以相关的项目数据为基础，综合运用不同的评价方法，结合评价标准和评分规则，阿图什市哈拉峻乡人民政府项目综合得分为98.12分，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4年村级运转经费（上级专项）项目评价得分情况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16.22</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预算执行率84.3%</w:t>
            </w: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28.9</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四条成本指标未完成</w:t>
            </w: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98.12</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本项目根据《关于加强村级组织运转经费保障工作的通知》《中国共产党农村基层组织工作条例》相关政策要求，本年度保障行政村数量12个村，物资采购批次12批，水电网保障期限12个月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确保各村日常工作正常开展，提高服务</w:t>
      </w:r>
      <w:r>
        <w:rPr>
          <w:rFonts w:hint="eastAsia" w:ascii="仿宋_GB2312" w:hAnsi="仿宋_GB2312" w:cs="仿宋_GB2312"/>
          <w:color w:val="auto"/>
          <w:sz w:val="32"/>
          <w:szCs w:val="32"/>
          <w:highlight w:val="none"/>
          <w:lang w:val="en-US" w:eastAsia="zh-CN"/>
        </w:rPr>
        <w:t>群众工作的效率</w:t>
      </w:r>
      <w:r>
        <w:rPr>
          <w:rFonts w:hint="eastAsia" w:ascii="仿宋_GB2312" w:hAnsi="仿宋_GB2312" w:cs="仿宋_GB2312"/>
          <w:color w:val="auto"/>
          <w:sz w:val="32"/>
          <w:szCs w:val="32"/>
          <w:highlight w:val="none"/>
        </w:rPr>
        <w:t>。</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村级运转经费（上级专项）项目</w:t>
      </w:r>
      <w:r>
        <w:rPr>
          <w:rFonts w:hint="eastAsia" w:ascii="仿宋_GB2312" w:hAnsi="仿宋_GB2312" w:cs="仿宋_GB2312"/>
          <w:color w:val="auto"/>
          <w:sz w:val="32"/>
          <w:szCs w:val="32"/>
          <w:highlight w:val="none"/>
        </w:rPr>
        <w:t>支出共计101.16万元，评价得分值</w:t>
      </w:r>
      <w:r>
        <w:rPr>
          <w:rFonts w:hint="eastAsia" w:ascii="仿宋_GB2312" w:hAnsi="仿宋_GB2312" w:cs="仿宋_GB2312"/>
          <w:color w:val="auto"/>
          <w:sz w:val="32"/>
          <w:szCs w:val="32"/>
          <w:highlight w:val="none"/>
          <w:lang w:val="en-US" w:eastAsia="zh-CN"/>
        </w:rPr>
        <w:t>98.12</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村级运转经费（上级专项）项目预算依据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上级专项）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上级专项）项目组织形式，明确了该项目经费的开支范围为</w:t>
      </w:r>
      <w:r>
        <w:rPr>
          <w:rFonts w:hint="eastAsia" w:ascii="仿宋_GB2312" w:hAnsi="仿宋_GB2312" w:cs="仿宋_GB2312"/>
          <w:color w:val="auto"/>
          <w:sz w:val="32"/>
          <w:szCs w:val="32"/>
          <w:highlight w:val="none"/>
          <w:lang w:val="en-US" w:eastAsia="zh-CN"/>
        </w:rPr>
        <w:t>村级运转经费</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（4）严格按照政府采购制度规范实施政府采购。对于需要实施政府采购的活动，严格实施、履行采购手续，根据村级运转经费（上级专项）</w:t>
      </w:r>
      <w:r>
        <w:rPr>
          <w:rFonts w:hint="eastAsia" w:ascii="仿宋_GB2312" w:hAnsi="仿宋_GB2312" w:cs="仿宋_GB2312"/>
          <w:color w:val="auto"/>
          <w:sz w:val="32"/>
          <w:szCs w:val="32"/>
          <w:highlight w:val="none"/>
          <w:lang w:val="en-US" w:eastAsia="zh-CN"/>
        </w:rPr>
        <w:t>项目的需求</w:t>
      </w:r>
      <w:r>
        <w:rPr>
          <w:rFonts w:hint="eastAsia" w:ascii="仿宋_GB2312" w:hAnsi="仿宋_GB2312" w:cs="仿宋_GB2312"/>
          <w:color w:val="auto"/>
          <w:sz w:val="32"/>
          <w:szCs w:val="32"/>
          <w:highlight w:val="none"/>
        </w:rPr>
        <w:t>，选择合规可行的采购形式，通过政采云平台完成</w:t>
      </w:r>
      <w:r>
        <w:rPr>
          <w:rFonts w:hint="eastAsia" w:ascii="仿宋_GB2312" w:hAnsi="仿宋_GB2312" w:cs="仿宋_GB2312"/>
          <w:color w:val="auto"/>
          <w:sz w:val="32"/>
          <w:szCs w:val="32"/>
          <w:highlight w:val="none"/>
          <w:lang w:val="en-US" w:eastAsia="zh-CN"/>
        </w:rPr>
        <w:t>日常物资</w:t>
      </w:r>
      <w:r>
        <w:rPr>
          <w:rFonts w:hint="eastAsia" w:ascii="仿宋_GB2312" w:hAnsi="仿宋_GB2312" w:cs="仿宋_GB2312"/>
          <w:color w:val="auto"/>
          <w:sz w:val="32"/>
          <w:szCs w:val="32"/>
          <w:highlight w:val="none"/>
        </w:rPr>
        <w:t>采购工作，将采购政策、采购程序、采购过程规范化、透明化，提升村级运转经费（上级专项）</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w:t>
      </w:r>
      <w:bookmarkStart w:id="0" w:name="_GoBack"/>
      <w:bookmarkEnd w:id="0"/>
      <w:r>
        <w:rPr>
          <w:rFonts w:hint="eastAsia" w:ascii="仿宋_GB2312" w:hAnsi="仿宋_GB2312" w:cs="仿宋_GB2312"/>
          <w:color w:val="auto"/>
          <w:sz w:val="32"/>
          <w:szCs w:val="32"/>
          <w:highlight w:val="none"/>
        </w:rPr>
        <w:t>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年村级运转经费（上级专项）项目在实施阶段均制定了具体的组织实施文件，各个项目均经过项目申报、项目评审、项目核准备案、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数量指标为涉及行政村数量，预期指标值是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12个村，实际完成值是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12个村，指标达到预期目标。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数量指标为物资采购批次，预期指标值是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12批，实际完成值是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12批，指标达到预期目标。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_GB2312" w:cs="仿宋_GB2312"/>
          <w:color w:val="auto"/>
          <w:sz w:val="32"/>
          <w:szCs w:val="32"/>
          <w:highlight w:val="none"/>
        </w:rPr>
        <w:t>数量指标为水电网保障期限，预期指标值是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12个月，指标达到预期目标。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质量指标为办公用品合格率，预期指标值是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质量指标为村级运转保障率，预期指标值是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b/>
          <w:color w:val="auto"/>
          <w:sz w:val="32"/>
          <w:szCs w:val="32"/>
          <w:highlight w:val="none"/>
        </w:rPr>
      </w:pPr>
      <w:r>
        <w:rPr>
          <w:rFonts w:hint="eastAsia" w:ascii="仿宋_GB2312" w:eastAsia="仿宋_GB2312"/>
          <w:b/>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成本指标为物资采购成本，预期指标值是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54万元，实际完成值是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55.918万元，指标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成本指标为水电网成本，预期指标值是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36万元，实际完成值是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31.4782万元，指标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成本指标为租赁服务费，预期指标值是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12万元，实际完成值是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w:t>
      </w:r>
      <w:r>
        <w:rPr>
          <w:rFonts w:hint="eastAsia" w:ascii="仿宋_GB2312"/>
          <w:color w:val="auto"/>
          <w:sz w:val="32"/>
          <w:szCs w:val="32"/>
          <w:highlight w:val="none"/>
          <w:lang w:val="en-US" w:eastAsia="zh-CN"/>
        </w:rPr>
        <w:t>当年未产生机械租赁服务费</w:t>
      </w:r>
      <w:r>
        <w:rPr>
          <w:rFonts w:hint="eastAsia" w:ascii="仿宋_GB2312"/>
          <w:color w:val="auto"/>
          <w:sz w:val="32"/>
          <w:szCs w:val="32"/>
          <w:highlight w:val="none"/>
        </w:rPr>
        <w:t>，因此指标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完成；措施：下一年度做好</w:t>
      </w:r>
      <w:r>
        <w:rPr>
          <w:rFonts w:hint="eastAsia" w:ascii="仿宋_GB2312"/>
          <w:color w:val="auto"/>
          <w:sz w:val="32"/>
          <w:szCs w:val="32"/>
          <w:highlight w:val="none"/>
          <w:lang w:val="en-US" w:eastAsia="zh-CN"/>
        </w:rPr>
        <w:t>年初计划，及</w:t>
      </w:r>
      <w:r>
        <w:rPr>
          <w:rFonts w:hint="eastAsia" w:ascii="仿宋_GB2312"/>
          <w:color w:val="auto"/>
          <w:sz w:val="32"/>
          <w:szCs w:val="32"/>
          <w:highlight w:val="none"/>
        </w:rPr>
        <w:t>项目管理，提高工作执行进度，减少偏差。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成本指标为房屋修缮及环境整治，预期指标值是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18万元，实际完成值是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13.495万元，指标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达到预期目标。原因：根据实际产生的费用进行支出，因此指标完成情况存在偏差；措施：下一年度做好项目管理，提高工作执行进度，减少偏差。</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指标为提升公共服务能力，预期指标值是有效提升，实际完成值是有效提升，指标达到预期目标。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满意度指标为服务群众满意度，预期指标值是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90%，指标达到预期目标。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楷体" w:hAnsi="楷体" w:eastAsia="仿宋_GB2312"/>
          <w:color w:val="auto"/>
          <w:sz w:val="36"/>
          <w:szCs w:val="32"/>
          <w:highlight w:val="none"/>
          <w:lang w:val="en-US" w:eastAsia="zh-CN"/>
        </w:rPr>
      </w:pPr>
      <w:r>
        <w:rPr>
          <w:rFonts w:hint="eastAsia"/>
          <w:color w:val="auto"/>
          <w:sz w:val="32"/>
          <w:highlight w:val="none"/>
        </w:rPr>
        <w:t>本项目全年预算数120万元，执行数101.16万元，执行率</w:t>
      </w:r>
      <w:r>
        <w:rPr>
          <w:rFonts w:hint="eastAsia"/>
          <w:color w:val="auto"/>
          <w:sz w:val="32"/>
          <w:highlight w:val="none"/>
          <w:lang w:val="en-US" w:eastAsia="zh-CN"/>
        </w:rPr>
        <w:t>84.30</w:t>
      </w:r>
      <w:r>
        <w:rPr>
          <w:rFonts w:hint="eastAsia"/>
          <w:color w:val="auto"/>
          <w:sz w:val="32"/>
          <w:highlight w:val="none"/>
        </w:rPr>
        <w:t>%，绩效指标完成率</w:t>
      </w:r>
      <w:r>
        <w:rPr>
          <w:rFonts w:hint="eastAsia"/>
          <w:color w:val="auto"/>
          <w:sz w:val="32"/>
          <w:highlight w:val="none"/>
          <w:lang w:val="en-US" w:eastAsia="zh-CN"/>
        </w:rPr>
        <w:t>89</w:t>
      </w:r>
      <w:r>
        <w:rPr>
          <w:rFonts w:hint="eastAsia"/>
          <w:color w:val="auto"/>
          <w:sz w:val="32"/>
          <w:highlight w:val="none"/>
        </w:rPr>
        <w:t>%，偏差率</w:t>
      </w:r>
      <w:r>
        <w:rPr>
          <w:rFonts w:hint="eastAsia"/>
          <w:color w:val="auto"/>
          <w:sz w:val="32"/>
          <w:highlight w:val="none"/>
          <w:lang w:val="en-US" w:eastAsia="zh-CN"/>
        </w:rPr>
        <w:t>4.7</w:t>
      </w:r>
      <w:r>
        <w:rPr>
          <w:rFonts w:hint="eastAsia"/>
          <w:color w:val="auto"/>
          <w:sz w:val="32"/>
          <w:highlight w:val="none"/>
        </w:rPr>
        <w:t>%。偏差原因：</w:t>
      </w:r>
      <w:r>
        <w:rPr>
          <w:rFonts w:hint="eastAsia"/>
          <w:color w:val="auto"/>
          <w:sz w:val="32"/>
          <w:highlight w:val="none"/>
          <w:lang w:val="en-US" w:eastAsia="zh-CN"/>
        </w:rPr>
        <w:t>部分费用缺少支出材料，未能按时拨付，根据实际产生及提供的支出资料支付村级运转经费，成本指标均存在偏差。</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s="宋体"/>
          <w:b w:val="0"/>
          <w:bCs w:val="0"/>
          <w:color w:val="auto"/>
          <w:kern w:val="2"/>
          <w:sz w:val="32"/>
          <w:szCs w:val="32"/>
          <w:highlight w:val="none"/>
          <w:lang w:val="en-US" w:eastAsia="zh-CN" w:bidi="ar-SA"/>
        </w:rPr>
      </w:pPr>
      <w:r>
        <w:rPr>
          <w:rFonts w:hint="eastAsia" w:ascii="仿宋_GB2312" w:hAnsi="仿宋" w:eastAsia="仿宋_GB2312" w:cs="宋体"/>
          <w:b w:val="0"/>
          <w:bCs w:val="0"/>
          <w:color w:val="auto"/>
          <w:kern w:val="2"/>
          <w:sz w:val="32"/>
          <w:szCs w:val="32"/>
          <w:highlight w:val="none"/>
          <w:lang w:val="en-US" w:eastAsia="zh-CN" w:bidi="ar-SA"/>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jc w:val="center"/>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cs="仿宋_GB2312"/>
          <w:b/>
          <w:bCs/>
          <w:color w:val="auto"/>
          <w:sz w:val="32"/>
          <w:szCs w:val="32"/>
          <w:highlight w:val="none"/>
        </w:rPr>
        <w:t>村级运转经费（上级专项）绩效评价指标体系</w:t>
      </w:r>
      <w:r>
        <w:rPr>
          <w:rFonts w:hint="eastAsia" w:ascii="仿宋_GB2312" w:hAnsi="仿宋_GB2312" w:cs="仿宋_GB2312"/>
          <w:b/>
          <w:bCs/>
          <w:color w:val="auto"/>
          <w:sz w:val="32"/>
          <w:szCs w:val="32"/>
          <w:highlight w:val="none"/>
          <w:lang w:val="en-US" w:eastAsia="zh-CN"/>
        </w:rPr>
        <w:t>表</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4.22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5.90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both"/>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98.12</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CD40EB"/>
    <w:multiLevelType w:val="multilevel"/>
    <w:tmpl w:val="68CD40EB"/>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8CD40F6"/>
    <w:multiLevelType w:val="singleLevel"/>
    <w:tmpl w:val="68CD40F6"/>
    <w:lvl w:ilvl="0" w:tentative="0">
      <w:start w:val="3"/>
      <w:numFmt w:val="decimal"/>
      <w:suff w:val="nothing"/>
      <w:lvlText w:val="%1．"/>
      <w:lvlJc w:val="left"/>
      <w:rPr>
        <w:rFonts w:hint="default"/>
        <w:b/>
        <w:bCs/>
        <w:color w:val="auto"/>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9AB37C8"/>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qFormat/>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D737769058E0482DA0842ED6B5E5CF92_13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176fe2-fd48-4567-93ca-fe3d951292d1}">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8592</Words>
  <Characters>8853</Characters>
  <Lines>56</Lines>
  <Paragraphs>15</Paragraphs>
  <TotalTime>13</TotalTime>
  <ScaleCrop>false</ScaleCrop>
  <LinksUpToDate>false</LinksUpToDate>
  <CharactersWithSpaces>8863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2025-09-19T11:38:54Z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D737769058E0482DA0842ED6B5E5CF92_13</vt:lpwstr>
  </property>
  <property fmtid="{D5CDD505-2E9C-101B-9397-08002B2CF9AE}" pid="4" name="KSOTemplateDocerSaveRecord">
    <vt:lpwstr>eyJoZGlkIjoiYzZkNzQ4ZWFiZmQ4NTRhOWRkZTk3YTMwMjlmMmZhYmUiLCJ1c2VySWQiOiI1NzgxMjU4NDIifQ_x003D__x003D_</vt:lpwstr>
  </property>
</Properties>
</file>