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阿图什市昆山育才学校2024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w:t>
      </w:r>
    </w:p>
    <w:p>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rPr>
        <w:t>公开说明</w:t>
      </w:r>
    </w:p>
    <w:p>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r>
        <w:br w:type="page"/>
      </w:r>
    </w:p>
    <w:p>
      <w:pPr>
        <w:spacing w:line="640" w:lineRule="exact"/>
        <w:jc w:val="center"/>
        <w:outlineLvl w:val="1"/>
      </w:pPr>
      <w:r>
        <w:rPr>
          <w:rFonts w:ascii="黑体" w:hAnsi="黑体" w:eastAsia="黑体"/>
          <w:sz w:val="32"/>
        </w:rPr>
        <w:t>第一部分 单位概况</w:t>
      </w:r>
    </w:p>
    <w:p>
      <w:pPr>
        <w:spacing w:line="640" w:lineRule="exact"/>
        <w:ind w:firstLine="640"/>
        <w:jc w:val="both"/>
        <w:outlineLvl w:val="2"/>
      </w:pPr>
      <w:r>
        <w:rPr>
          <w:rFonts w:ascii="黑体" w:hAnsi="黑体" w:eastAsia="黑体"/>
          <w:sz w:val="32"/>
        </w:rPr>
        <w:t>一、主要职能</w:t>
      </w:r>
    </w:p>
    <w:p>
      <w:pPr>
        <w:spacing w:line="580" w:lineRule="exact"/>
        <w:ind w:firstLine="640"/>
        <w:jc w:val="both"/>
      </w:pPr>
      <w:r>
        <w:rPr>
          <w:rFonts w:hint="eastAsia" w:ascii="仿宋_GB2312" w:hAnsi="仿宋_GB2312" w:eastAsia="仿宋_GB2312"/>
          <w:sz w:val="32"/>
          <w:lang w:eastAsia="zh-CN"/>
        </w:rPr>
        <w:t>1.</w:t>
      </w:r>
      <w:r>
        <w:rPr>
          <w:rFonts w:ascii="仿宋_GB2312" w:hAnsi="仿宋_GB2312" w:eastAsia="仿宋_GB2312"/>
          <w:sz w:val="32"/>
        </w:rPr>
        <w:t>正确贯彻执行党和国家的教育方针、政策、法规。</w:t>
      </w:r>
    </w:p>
    <w:p>
      <w:pPr>
        <w:spacing w:line="580" w:lineRule="exact"/>
        <w:ind w:firstLine="640"/>
        <w:jc w:val="both"/>
      </w:pPr>
      <w:r>
        <w:rPr>
          <w:rFonts w:hint="eastAsia" w:ascii="仿宋_GB2312" w:hAnsi="仿宋_GB2312" w:eastAsia="仿宋_GB2312"/>
          <w:sz w:val="32"/>
          <w:lang w:eastAsia="zh-CN"/>
        </w:rPr>
        <w:t>2.</w:t>
      </w:r>
      <w:r>
        <w:rPr>
          <w:rFonts w:ascii="仿宋_GB2312" w:hAnsi="仿宋_GB2312" w:eastAsia="仿宋_GB2312"/>
          <w:sz w:val="32"/>
        </w:rPr>
        <w:t>维护学校的教学秩序，为学生创造良好的学习环境。</w:t>
      </w:r>
    </w:p>
    <w:p>
      <w:pPr>
        <w:spacing w:line="580" w:lineRule="exact"/>
        <w:ind w:firstLine="640"/>
        <w:jc w:val="both"/>
      </w:pPr>
      <w:r>
        <w:rPr>
          <w:rFonts w:hint="eastAsia" w:ascii="仿宋_GB2312" w:hAnsi="仿宋_GB2312" w:eastAsia="仿宋_GB2312"/>
          <w:sz w:val="32"/>
          <w:lang w:eastAsia="zh-CN"/>
        </w:rPr>
        <w:t>3.</w:t>
      </w:r>
      <w:r>
        <w:rPr>
          <w:rFonts w:ascii="仿宋_GB2312" w:hAnsi="仿宋_GB2312" w:eastAsia="仿宋_GB2312"/>
          <w:sz w:val="32"/>
        </w:rPr>
        <w:t>积极稳妥</w:t>
      </w:r>
      <w:r>
        <w:rPr>
          <w:rFonts w:hint="eastAsia" w:ascii="仿宋_GB2312" w:hAnsi="仿宋_GB2312" w:eastAsia="仿宋_GB2312"/>
          <w:sz w:val="32"/>
          <w:lang w:val="en-US" w:eastAsia="zh-CN"/>
        </w:rPr>
        <w:t>地</w:t>
      </w:r>
      <w:r>
        <w:rPr>
          <w:rFonts w:ascii="仿宋_GB2312" w:hAnsi="仿宋_GB2312" w:eastAsia="仿宋_GB2312"/>
          <w:sz w:val="32"/>
        </w:rPr>
        <w:t>推进教育改革，按教育规律办事，不断提高教育质量。</w:t>
      </w:r>
    </w:p>
    <w:p>
      <w:pPr>
        <w:spacing w:line="580" w:lineRule="exact"/>
        <w:ind w:firstLine="640"/>
        <w:jc w:val="both"/>
      </w:pPr>
      <w:r>
        <w:rPr>
          <w:rFonts w:hint="eastAsia" w:ascii="仿宋_GB2312" w:hAnsi="仿宋_GB2312" w:eastAsia="仿宋_GB2312"/>
          <w:sz w:val="32"/>
          <w:lang w:eastAsia="zh-CN"/>
        </w:rPr>
        <w:t>4.</w:t>
      </w:r>
      <w:r>
        <w:rPr>
          <w:rFonts w:ascii="仿宋_GB2312" w:hAnsi="仿宋_GB2312" w:eastAsia="仿宋_GB2312"/>
          <w:sz w:val="32"/>
        </w:rPr>
        <w:t>根据学校规模，设置学校管理机构，建立健全各项规章制度和岗位责任制。</w:t>
      </w:r>
    </w:p>
    <w:p>
      <w:pPr>
        <w:spacing w:line="580" w:lineRule="exact"/>
        <w:ind w:firstLine="640"/>
        <w:jc w:val="both"/>
      </w:pPr>
      <w:r>
        <w:rPr>
          <w:rFonts w:hint="eastAsia" w:ascii="仿宋_GB2312" w:hAnsi="仿宋_GB2312" w:eastAsia="仿宋_GB2312"/>
          <w:sz w:val="32"/>
          <w:lang w:eastAsia="zh-CN"/>
        </w:rPr>
        <w:t>5.</w:t>
      </w:r>
      <w:r>
        <w:rPr>
          <w:rFonts w:ascii="仿宋_GB2312" w:hAnsi="仿宋_GB2312" w:eastAsia="仿宋_GB2312"/>
          <w:sz w:val="32"/>
        </w:rPr>
        <w:t>坚持教书育人，服务育人，环境育人方针，加强对学生思想品德教育，使学生的德智体全面发展。</w:t>
      </w:r>
    </w:p>
    <w:p>
      <w:pPr>
        <w:spacing w:line="580" w:lineRule="exact"/>
        <w:ind w:firstLine="640"/>
        <w:jc w:val="both"/>
      </w:pPr>
      <w:r>
        <w:rPr>
          <w:rFonts w:hint="eastAsia" w:ascii="仿宋_GB2312" w:hAnsi="仿宋_GB2312" w:eastAsia="仿宋_GB2312"/>
          <w:sz w:val="32"/>
          <w:lang w:eastAsia="zh-CN"/>
        </w:rPr>
        <w:t>6.</w:t>
      </w:r>
      <w:r>
        <w:rPr>
          <w:rFonts w:ascii="仿宋_GB2312" w:hAnsi="仿宋_GB2312" w:eastAsia="仿宋_GB2312"/>
          <w:sz w:val="32"/>
        </w:rPr>
        <w:t>抓好教师队伍建设，使每个教师都热心于教育事业。</w:t>
      </w:r>
    </w:p>
    <w:p>
      <w:pPr>
        <w:spacing w:line="640" w:lineRule="exact"/>
        <w:ind w:firstLine="640"/>
        <w:jc w:val="both"/>
        <w:outlineLvl w:val="2"/>
      </w:pPr>
      <w:r>
        <w:rPr>
          <w:rFonts w:ascii="黑体" w:hAnsi="黑体" w:eastAsia="黑体"/>
          <w:sz w:val="32"/>
        </w:rPr>
        <w:t>二、机构设置及人员情况</w:t>
      </w:r>
    </w:p>
    <w:p>
      <w:pPr>
        <w:spacing w:line="580" w:lineRule="exact"/>
        <w:ind w:firstLine="640"/>
        <w:jc w:val="both"/>
      </w:pPr>
      <w:r>
        <w:rPr>
          <w:rFonts w:ascii="仿宋_GB2312" w:hAnsi="仿宋_GB2312" w:eastAsia="仿宋_GB2312"/>
          <w:sz w:val="32"/>
        </w:rPr>
        <w:t>阿图什市昆山育才学校2024年度，实有人数109人，其中：在职人员109人，增加3人；离休人员0人，增加0人；退休人员0人,增加0人。</w:t>
      </w:r>
    </w:p>
    <w:p>
      <w:pPr>
        <w:spacing w:line="580" w:lineRule="exact"/>
        <w:ind w:firstLine="640"/>
        <w:jc w:val="both"/>
      </w:pPr>
      <w:r>
        <w:rPr>
          <w:rFonts w:ascii="仿宋_GB2312" w:hAnsi="仿宋_GB2312" w:eastAsia="仿宋_GB2312"/>
          <w:sz w:val="32"/>
        </w:rPr>
        <w:t>阿图什市昆山育才学校无下属预算单位，下设8个科室，分别是：办公室、教务处、书记室、校长室、德育处、党建室、总务处、财务室。</w:t>
      </w:r>
    </w:p>
    <w:p>
      <w:r>
        <w:br w:type="page"/>
      </w:r>
    </w:p>
    <w:p>
      <w:pPr>
        <w:spacing w:line="240" w:lineRule="auto"/>
        <w:jc w:val="center"/>
        <w:outlineLvl w:val="1"/>
      </w:pPr>
      <w:r>
        <w:rPr>
          <w:rFonts w:ascii="黑体" w:hAnsi="黑体" w:eastAsia="黑体"/>
          <w:sz w:val="32"/>
        </w:rPr>
        <w:t>第二部分 部门决算情况说明</w:t>
      </w:r>
    </w:p>
    <w:p>
      <w:pPr>
        <w:spacing w:line="640" w:lineRule="exact"/>
        <w:ind w:firstLine="640"/>
        <w:jc w:val="both"/>
        <w:outlineLvl w:val="2"/>
      </w:pPr>
      <w:r>
        <w:rPr>
          <w:rFonts w:ascii="黑体" w:hAnsi="黑体" w:eastAsia="黑体"/>
          <w:sz w:val="32"/>
        </w:rPr>
        <w:t>一、收入支出决算总体情况说明</w:t>
      </w:r>
    </w:p>
    <w:p>
      <w:pPr>
        <w:spacing w:line="580" w:lineRule="exact"/>
        <w:ind w:firstLine="640"/>
        <w:jc w:val="both"/>
      </w:pPr>
      <w:r>
        <w:rPr>
          <w:rFonts w:ascii="仿宋_GB2312" w:hAnsi="仿宋_GB2312" w:eastAsia="仿宋_GB2312"/>
          <w:b/>
          <w:sz w:val="32"/>
        </w:rPr>
        <w:t>2024年度收入总计2,373.98万元，</w:t>
      </w:r>
      <w:r>
        <w:rPr>
          <w:rFonts w:ascii="仿宋_GB2312" w:hAnsi="仿宋_GB2312" w:eastAsia="仿宋_GB2312"/>
          <w:b w:val="0"/>
          <w:sz w:val="32"/>
        </w:rPr>
        <w:t>其中：本年收入合计2,289.52万元，使用非财政拨款结余（含专用结余）0.00万元，年初结转和结余84.46万元。</w:t>
      </w:r>
    </w:p>
    <w:p>
      <w:pPr>
        <w:spacing w:line="580" w:lineRule="exact"/>
        <w:ind w:firstLine="640"/>
        <w:jc w:val="both"/>
      </w:pPr>
      <w:r>
        <w:rPr>
          <w:rFonts w:ascii="仿宋_GB2312" w:hAnsi="仿宋_GB2312" w:eastAsia="仿宋_GB2312"/>
          <w:b/>
          <w:sz w:val="32"/>
        </w:rPr>
        <w:t>2024年度支出总计2,373.98万元，</w:t>
      </w:r>
      <w:r>
        <w:rPr>
          <w:rFonts w:ascii="仿宋_GB2312" w:hAnsi="仿宋_GB2312" w:eastAsia="仿宋_GB2312"/>
          <w:b w:val="0"/>
          <w:sz w:val="32"/>
        </w:rPr>
        <w:t>其中：本年支出合计2,289.63万元，结余分配0.00万元，年末结转和结余84.35万元。</w:t>
      </w:r>
    </w:p>
    <w:p>
      <w:pPr>
        <w:spacing w:line="580" w:lineRule="exact"/>
        <w:ind w:firstLine="640"/>
        <w:jc w:val="both"/>
      </w:pPr>
      <w:r>
        <w:rPr>
          <w:rFonts w:ascii="仿宋_GB2312" w:hAnsi="仿宋_GB2312" w:eastAsia="仿宋_GB2312"/>
          <w:b w:val="0"/>
          <w:sz w:val="32"/>
        </w:rPr>
        <w:t>收入支出总体与上年相比，减少66.60万元，下降2.73%，主要原因是：本年减少</w:t>
      </w:r>
      <w:r>
        <w:rPr>
          <w:rFonts w:hint="eastAsia" w:ascii="仿宋_GB2312" w:hAnsi="仿宋_GB2312" w:eastAsia="仿宋_GB2312"/>
          <w:b w:val="0"/>
          <w:sz w:val="32"/>
          <w:lang w:val="en-US" w:eastAsia="zh-CN"/>
        </w:rPr>
        <w:t>其他收入用于</w:t>
      </w:r>
      <w:r>
        <w:rPr>
          <w:rFonts w:ascii="仿宋_GB2312" w:hAnsi="仿宋_GB2312" w:eastAsia="仿宋_GB2312"/>
          <w:b w:val="0"/>
          <w:sz w:val="32"/>
        </w:rPr>
        <w:t>体育操场改造项目。</w:t>
      </w:r>
    </w:p>
    <w:p>
      <w:pPr>
        <w:spacing w:line="640" w:lineRule="exact"/>
        <w:ind w:firstLine="640"/>
        <w:jc w:val="both"/>
        <w:outlineLvl w:val="2"/>
      </w:pPr>
      <w:r>
        <w:rPr>
          <w:rFonts w:ascii="黑体" w:hAnsi="黑体" w:eastAsia="黑体"/>
          <w:sz w:val="32"/>
        </w:rPr>
        <w:t>二、收入决算情况说明</w:t>
      </w:r>
    </w:p>
    <w:p>
      <w:pPr>
        <w:spacing w:line="580" w:lineRule="exact"/>
        <w:ind w:firstLine="640"/>
        <w:jc w:val="both"/>
      </w:pPr>
      <w:r>
        <w:rPr>
          <w:rFonts w:ascii="仿宋_GB2312" w:hAnsi="仿宋_GB2312" w:eastAsia="仿宋_GB2312"/>
          <w:b/>
          <w:sz w:val="32"/>
        </w:rPr>
        <w:t>本年收入2,289.52万元，</w:t>
      </w:r>
      <w:r>
        <w:rPr>
          <w:rFonts w:ascii="仿宋_GB2312" w:hAnsi="仿宋_GB2312" w:eastAsia="仿宋_GB2312"/>
          <w:b w:val="0"/>
          <w:sz w:val="32"/>
        </w:rPr>
        <w:t>其中：财政拨款收入2,069.68万元，占90.40%；上级补助收入0.00万元，占0.00%；事业收入0.00万元，占0.00%；经营收入0.00万元，占0.00%；附属单位上缴收入0.00万元，占0.00%；其他收入219.84万元，占9.60%。</w:t>
      </w:r>
    </w:p>
    <w:p>
      <w:pPr>
        <w:spacing w:line="640" w:lineRule="exact"/>
        <w:ind w:firstLine="640"/>
        <w:jc w:val="both"/>
        <w:outlineLvl w:val="2"/>
      </w:pPr>
      <w:r>
        <w:rPr>
          <w:rFonts w:ascii="黑体" w:hAnsi="黑体" w:eastAsia="黑体"/>
          <w:sz w:val="32"/>
        </w:rPr>
        <w:t>三、支出决算情况说明</w:t>
      </w:r>
    </w:p>
    <w:p>
      <w:pPr>
        <w:spacing w:line="580" w:lineRule="exact"/>
        <w:ind w:firstLine="640"/>
        <w:jc w:val="both"/>
      </w:pPr>
      <w:r>
        <w:rPr>
          <w:rFonts w:ascii="仿宋_GB2312" w:hAnsi="仿宋_GB2312" w:eastAsia="仿宋_GB2312"/>
          <w:b/>
          <w:sz w:val="32"/>
        </w:rPr>
        <w:t>本年支出2,289.63万元，</w:t>
      </w:r>
      <w:r>
        <w:rPr>
          <w:rFonts w:ascii="仿宋_GB2312" w:hAnsi="仿宋_GB2312" w:eastAsia="仿宋_GB2312"/>
          <w:b w:val="0"/>
          <w:sz w:val="32"/>
        </w:rPr>
        <w:t>其中：基本支出1,855.44万元，占81.04%；项目支出434.19万元，占18.96%；上缴上级支出0.00万元，占0.00%；经营支出0.00万元，占0.00%；对附属单位补助支出0.00万元，占0.00%。</w:t>
      </w:r>
    </w:p>
    <w:p>
      <w:pPr>
        <w:spacing w:line="640" w:lineRule="exact"/>
        <w:ind w:firstLine="640"/>
        <w:jc w:val="both"/>
        <w:outlineLvl w:val="2"/>
      </w:pPr>
      <w:r>
        <w:rPr>
          <w:rFonts w:ascii="黑体" w:hAnsi="黑体" w:eastAsia="黑体"/>
          <w:sz w:val="32"/>
        </w:rPr>
        <w:t>四、财政拨款收入支出决算总体情况说明</w:t>
      </w:r>
    </w:p>
    <w:p>
      <w:pPr>
        <w:spacing w:line="580" w:lineRule="exact"/>
        <w:ind w:firstLine="640"/>
        <w:jc w:val="both"/>
      </w:pPr>
      <w:r>
        <w:rPr>
          <w:rFonts w:ascii="仿宋_GB2312" w:hAnsi="仿宋_GB2312" w:eastAsia="仿宋_GB2312"/>
          <w:b/>
          <w:sz w:val="32"/>
        </w:rPr>
        <w:t>2024年度财政拨款收入总计2,069.68万元，</w:t>
      </w:r>
      <w:r>
        <w:rPr>
          <w:rFonts w:ascii="仿宋_GB2312" w:hAnsi="仿宋_GB2312" w:eastAsia="仿宋_GB2312"/>
          <w:b w:val="0"/>
          <w:sz w:val="32"/>
        </w:rPr>
        <w:t>其中：年初财政拨款结转和结余0.00万元，本年财政拨款收入2,069.68万元。</w:t>
      </w:r>
      <w:r>
        <w:rPr>
          <w:rFonts w:ascii="仿宋_GB2312" w:hAnsi="仿宋_GB2312" w:eastAsia="仿宋_GB2312"/>
          <w:b/>
          <w:sz w:val="32"/>
        </w:rPr>
        <w:t>财政拨款支出总计2,069.68万元，</w:t>
      </w:r>
      <w:r>
        <w:rPr>
          <w:rFonts w:ascii="仿宋_GB2312" w:hAnsi="仿宋_GB2312" w:eastAsia="仿宋_GB2312"/>
          <w:b w:val="0"/>
          <w:sz w:val="32"/>
        </w:rPr>
        <w:t>其中：年末财政拨款结转和结余0.00万元，本年财政拨款支出2,069.68万元。</w:t>
      </w:r>
    </w:p>
    <w:p>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增加22.92万元，增长1.12%，主要原因是：本年在职人员增加，在职人员工资调增、社保、公积金基数调增，人员经费增加。</w:t>
      </w:r>
      <w:r>
        <w:rPr>
          <w:rFonts w:ascii="仿宋_GB2312" w:hAnsi="仿宋_GB2312" w:eastAsia="仿宋_GB2312"/>
          <w:b/>
          <w:sz w:val="32"/>
        </w:rPr>
        <w:t>与年初预算相比，</w:t>
      </w:r>
      <w:r>
        <w:rPr>
          <w:rFonts w:ascii="仿宋_GB2312" w:hAnsi="仿宋_GB2312" w:eastAsia="仿宋_GB2312"/>
          <w:b w:val="0"/>
          <w:sz w:val="32"/>
        </w:rPr>
        <w:t>年初预算数1,917.84万元，决算数2,069.68万元，预决算差异率7.92%，主要原因是：本年在职人员增加，年中追加人员经费及人员工资、社保、公积金基数调增部分资金，导致预决算存在差异。</w:t>
      </w:r>
    </w:p>
    <w:p>
      <w:pPr>
        <w:spacing w:line="640" w:lineRule="exact"/>
        <w:ind w:firstLine="640"/>
        <w:jc w:val="both"/>
        <w:outlineLvl w:val="2"/>
      </w:pPr>
      <w:r>
        <w:rPr>
          <w:rFonts w:ascii="黑体" w:hAnsi="黑体" w:eastAsia="黑体"/>
          <w:sz w:val="32"/>
        </w:rPr>
        <w:t>五、一般公共预算财政拨款支出决算情况说明</w:t>
      </w:r>
    </w:p>
    <w:p>
      <w:pPr>
        <w:spacing w:line="640" w:lineRule="exact"/>
        <w:ind w:firstLine="640"/>
        <w:jc w:val="both"/>
        <w:outlineLvl w:val="3"/>
      </w:pPr>
      <w:r>
        <w:rPr>
          <w:rFonts w:ascii="楷体_GB2312" w:hAnsi="楷体_GB2312" w:eastAsia="楷体_GB2312"/>
          <w:b/>
          <w:sz w:val="32"/>
        </w:rPr>
        <w:t>（一）一般公共预算财政拨款支出决算总体情况</w:t>
      </w:r>
    </w:p>
    <w:p>
      <w:pPr>
        <w:spacing w:line="580" w:lineRule="exact"/>
        <w:ind w:firstLine="640"/>
        <w:jc w:val="both"/>
      </w:pPr>
      <w:r>
        <w:rPr>
          <w:rFonts w:ascii="仿宋_GB2312" w:hAnsi="仿宋_GB2312" w:eastAsia="仿宋_GB2312"/>
          <w:b/>
          <w:sz w:val="32"/>
        </w:rPr>
        <w:t>2024年度一般公共预算财政拨款支出2,069.68万元，</w:t>
      </w:r>
      <w:r>
        <w:rPr>
          <w:rFonts w:ascii="仿宋_GB2312" w:hAnsi="仿宋_GB2312" w:eastAsia="仿宋_GB2312"/>
          <w:b w:val="0"/>
          <w:sz w:val="32"/>
        </w:rPr>
        <w:t>占本年支出合计的90.39%。</w:t>
      </w:r>
      <w:r>
        <w:rPr>
          <w:rFonts w:ascii="仿宋_GB2312" w:hAnsi="仿宋_GB2312" w:eastAsia="仿宋_GB2312"/>
          <w:b/>
          <w:sz w:val="32"/>
        </w:rPr>
        <w:t>与上年相比，</w:t>
      </w:r>
      <w:r>
        <w:rPr>
          <w:rFonts w:ascii="仿宋_GB2312" w:hAnsi="仿宋_GB2312" w:eastAsia="仿宋_GB2312"/>
          <w:b w:val="0"/>
          <w:sz w:val="32"/>
        </w:rPr>
        <w:t>增加22.92万元，增长1.12%，主要原因是：本年在职人员增加，在职人员工资调增、社保、公积金基数调增，人员经费增加。</w:t>
      </w:r>
      <w:r>
        <w:rPr>
          <w:rFonts w:ascii="仿宋_GB2312" w:hAnsi="仿宋_GB2312" w:eastAsia="仿宋_GB2312"/>
          <w:b/>
          <w:sz w:val="32"/>
        </w:rPr>
        <w:t>与年初预算相比,</w:t>
      </w:r>
      <w:r>
        <w:rPr>
          <w:rFonts w:ascii="仿宋_GB2312" w:hAnsi="仿宋_GB2312" w:eastAsia="仿宋_GB2312"/>
          <w:b w:val="0"/>
          <w:sz w:val="32"/>
        </w:rPr>
        <w:t>年初预算数1,917.84万元，决算数2,069.68万元，预决算差异率7.92%，主要原因是：本年在职人员增加，年中追加人员经费及人员工资、社保、公积金基数调增部分资金，导致预决算存在差异。</w:t>
      </w:r>
    </w:p>
    <w:p>
      <w:pPr>
        <w:spacing w:line="640" w:lineRule="exact"/>
        <w:ind w:firstLine="640"/>
        <w:jc w:val="both"/>
        <w:outlineLvl w:val="3"/>
      </w:pPr>
      <w:r>
        <w:rPr>
          <w:rFonts w:ascii="楷体_GB2312" w:hAnsi="楷体_GB2312" w:eastAsia="楷体_GB2312"/>
          <w:b/>
          <w:sz w:val="32"/>
        </w:rPr>
        <w:t>（二）一般公共预算财政拨款支出决算结构情况</w:t>
      </w:r>
    </w:p>
    <w:p>
      <w:pPr>
        <w:spacing w:line="580" w:lineRule="exact"/>
        <w:ind w:firstLine="640"/>
        <w:jc w:val="both"/>
      </w:pPr>
      <w:r>
        <w:rPr>
          <w:rFonts w:ascii="仿宋_GB2312" w:hAnsi="仿宋_GB2312" w:eastAsia="仿宋_GB2312"/>
          <w:b w:val="0"/>
          <w:sz w:val="32"/>
        </w:rPr>
        <w:t>1.教育支出(类)2,069.68万元,占100.00%。</w:t>
      </w:r>
    </w:p>
    <w:p>
      <w:pPr>
        <w:spacing w:line="640" w:lineRule="exact"/>
        <w:ind w:firstLine="640"/>
        <w:jc w:val="both"/>
        <w:outlineLvl w:val="3"/>
      </w:pPr>
      <w:r>
        <w:rPr>
          <w:rFonts w:ascii="楷体_GB2312" w:hAnsi="楷体_GB2312" w:eastAsia="楷体_GB2312"/>
          <w:b/>
          <w:sz w:val="32"/>
        </w:rPr>
        <w:t>（三）一般公共预算财政拨款支出决算具体情况</w:t>
      </w:r>
    </w:p>
    <w:p>
      <w:pPr>
        <w:spacing w:line="580" w:lineRule="exact"/>
        <w:ind w:firstLine="640"/>
        <w:jc w:val="both"/>
      </w:pPr>
      <w:r>
        <w:rPr>
          <w:rFonts w:ascii="仿宋_GB2312" w:hAnsi="仿宋_GB2312" w:eastAsia="仿宋_GB2312"/>
          <w:b w:val="0"/>
          <w:sz w:val="32"/>
        </w:rPr>
        <w:t>1.教育支出(类)普通教育(款)小学教育(项):支出决算数为2,041.00万元，比上年决算增加282.26万元，增长16.05%,主要原因是：本年增加在职人员，在职人员工资调增，导致相关人员经费较上年有所增加。本年功能科目调整，养老保险缴费、住房公积金上年度单独列支，本年调整至主科目列支，导致经费较上年增加。</w:t>
      </w:r>
    </w:p>
    <w:p>
      <w:pPr>
        <w:spacing w:line="580" w:lineRule="exact"/>
        <w:ind w:firstLine="640"/>
        <w:jc w:val="both"/>
      </w:pPr>
      <w:r>
        <w:rPr>
          <w:rFonts w:ascii="仿宋_GB2312" w:hAnsi="仿宋_GB2312" w:eastAsia="仿宋_GB2312"/>
          <w:b w:val="0"/>
          <w:sz w:val="32"/>
        </w:rPr>
        <w:t>2.教育支出(类)普通教育(款)初中教育(项):支出决算数为28.68万元，比上年决算增加28.68万元，增长100.00%,主要原因是：本年增加城乡义务教育补助经费，导致经费支出较上年增加。</w:t>
      </w:r>
    </w:p>
    <w:p>
      <w:pPr>
        <w:spacing w:line="580" w:lineRule="exact"/>
        <w:ind w:firstLine="640"/>
        <w:jc w:val="both"/>
      </w:pPr>
      <w:r>
        <w:rPr>
          <w:rFonts w:ascii="仿宋_GB2312" w:hAnsi="仿宋_GB2312" w:eastAsia="仿宋_GB2312"/>
          <w:b w:val="0"/>
          <w:sz w:val="32"/>
        </w:rPr>
        <w:t>3.社会保障和就业支出(类)行政事业单位养老支出(款)机关事业单位基本养老保险缴费支出(项):支出决算数为0.00万元，比上年决算减少159.52万元，下降100.00%,主要原因是：本年功能科目调整，养老保险缴费上年度单独列支，本年调整至主科目列支，导致经费较上年减少。</w:t>
      </w:r>
    </w:p>
    <w:p>
      <w:pPr>
        <w:spacing w:line="580" w:lineRule="exact"/>
        <w:ind w:firstLine="640"/>
        <w:jc w:val="both"/>
      </w:pPr>
      <w:r>
        <w:rPr>
          <w:rFonts w:ascii="仿宋_GB2312" w:hAnsi="仿宋_GB2312" w:eastAsia="仿宋_GB2312"/>
          <w:b w:val="0"/>
          <w:sz w:val="32"/>
        </w:rPr>
        <w:t>4.住房保障支出(类)住房改革支出(款)住房公积金(项):支出决算数为0.00万元，比上年决算减少128.50万元，下降100.00%,主要原因是：本年功能科目调整，住房公积金上年度单独列支，本年调整至主科目列支，导致经费较上年减少。</w:t>
      </w:r>
    </w:p>
    <w:p>
      <w:pPr>
        <w:spacing w:line="640" w:lineRule="exact"/>
        <w:ind w:firstLine="640"/>
        <w:jc w:val="both"/>
        <w:outlineLvl w:val="2"/>
      </w:pPr>
      <w:r>
        <w:rPr>
          <w:rFonts w:ascii="黑体" w:hAnsi="黑体" w:eastAsia="黑体"/>
          <w:sz w:val="32"/>
        </w:rPr>
        <w:t>六、一般公共预算财政拨款基本支出决算情况说明</w:t>
      </w:r>
    </w:p>
    <w:p>
      <w:pPr>
        <w:spacing w:line="580" w:lineRule="exact"/>
        <w:ind w:firstLine="640"/>
        <w:jc w:val="both"/>
      </w:pPr>
      <w:r>
        <w:rPr>
          <w:rFonts w:ascii="仿宋_GB2312" w:hAnsi="仿宋_GB2312" w:eastAsia="仿宋_GB2312"/>
          <w:b w:val="0"/>
          <w:sz w:val="32"/>
        </w:rPr>
        <w:t>2024年度一般公共预算财政拨款基本支出1,855.44万元，其中：</w:t>
      </w:r>
      <w:r>
        <w:rPr>
          <w:rFonts w:ascii="仿宋_GB2312" w:hAnsi="仿宋_GB2312" w:eastAsia="仿宋_GB2312"/>
          <w:b/>
          <w:sz w:val="32"/>
        </w:rPr>
        <w:t>人员经费1,798.15万元，</w:t>
      </w:r>
      <w:r>
        <w:rPr>
          <w:rFonts w:ascii="仿宋_GB2312" w:hAnsi="仿宋_GB2312" w:eastAsia="仿宋_GB2312"/>
          <w:b w:val="0"/>
          <w:sz w:val="32"/>
        </w:rPr>
        <w:t>包括：基本工资、津贴补贴、绩效工资、机关事业单位基本养老保险缴费、职工基本医疗保险缴费、其他社会保障缴费、住房公积金、抚恤金。</w:t>
      </w:r>
    </w:p>
    <w:p>
      <w:pPr>
        <w:spacing w:line="580" w:lineRule="exact"/>
        <w:ind w:firstLine="640"/>
        <w:jc w:val="both"/>
      </w:pPr>
      <w:r>
        <w:rPr>
          <w:rFonts w:ascii="仿宋_GB2312" w:hAnsi="仿宋_GB2312" w:eastAsia="仿宋_GB2312"/>
          <w:b/>
          <w:sz w:val="32"/>
        </w:rPr>
        <w:t>公用经费57.28万元，</w:t>
      </w:r>
      <w:r>
        <w:rPr>
          <w:rFonts w:ascii="仿宋_GB2312" w:hAnsi="仿宋_GB2312" w:eastAsia="仿宋_GB2312"/>
          <w:b w:val="0"/>
          <w:sz w:val="32"/>
        </w:rPr>
        <w:t>包括：取暖费。</w:t>
      </w:r>
    </w:p>
    <w:p>
      <w:pPr>
        <w:spacing w:line="640" w:lineRule="exact"/>
        <w:ind w:firstLine="640"/>
        <w:jc w:val="both"/>
        <w:outlineLvl w:val="2"/>
      </w:pPr>
      <w:r>
        <w:rPr>
          <w:rFonts w:ascii="黑体" w:hAnsi="黑体" w:eastAsia="黑体"/>
          <w:sz w:val="32"/>
        </w:rPr>
        <w:t>七、政府性基金预算财政拨款收入支出决算情况说明</w:t>
      </w:r>
    </w:p>
    <w:p>
      <w:pPr>
        <w:spacing w:line="580" w:lineRule="exact"/>
        <w:ind w:firstLine="640"/>
        <w:jc w:val="both"/>
      </w:pPr>
      <w:r>
        <w:rPr>
          <w:rFonts w:ascii="仿宋_GB2312" w:hAnsi="仿宋_GB2312" w:eastAsia="仿宋_GB2312"/>
          <w:b w:val="0"/>
          <w:sz w:val="32"/>
        </w:rPr>
        <w:t>本单位本年度无政府性基金预算财政拨款收入、支出及结转和结余，政府性基金预算财政拨款收入支出决算表为空表。</w:t>
      </w:r>
    </w:p>
    <w:p>
      <w:pPr>
        <w:spacing w:line="640" w:lineRule="exact"/>
        <w:ind w:firstLine="640"/>
        <w:jc w:val="both"/>
        <w:outlineLvl w:val="2"/>
      </w:pPr>
      <w:r>
        <w:rPr>
          <w:rFonts w:ascii="黑体" w:hAnsi="黑体" w:eastAsia="黑体"/>
          <w:sz w:val="32"/>
        </w:rPr>
        <w:t>八、国有资本经营预算财政拨款收入支出决算情况说明</w:t>
      </w:r>
    </w:p>
    <w:p>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pPr>
        <w:spacing w:line="640" w:lineRule="exact"/>
        <w:ind w:firstLine="640"/>
        <w:jc w:val="both"/>
        <w:outlineLvl w:val="2"/>
      </w:pPr>
      <w:r>
        <w:rPr>
          <w:rFonts w:ascii="黑体" w:hAnsi="黑体" w:eastAsia="黑体"/>
          <w:sz w:val="32"/>
        </w:rPr>
        <w:t>九、财政拨款“三公”经费支出决算情况说明</w:t>
      </w:r>
    </w:p>
    <w:p>
      <w:pPr>
        <w:spacing w:line="580" w:lineRule="exact"/>
        <w:ind w:firstLine="640"/>
        <w:jc w:val="both"/>
      </w:pPr>
      <w:r>
        <w:rPr>
          <w:rFonts w:ascii="仿宋_GB2312" w:hAnsi="仿宋_GB2312" w:eastAsia="仿宋_GB2312"/>
          <w:b/>
          <w:sz w:val="32"/>
        </w:rPr>
        <w:t>2024年度财政拨款“三公”经费支出0.00万元，</w:t>
      </w:r>
      <w:r>
        <w:rPr>
          <w:rFonts w:ascii="仿宋_GB2312" w:hAnsi="仿宋_GB2312" w:eastAsia="仿宋_GB2312"/>
          <w:b w:val="0"/>
          <w:sz w:val="32"/>
        </w:rPr>
        <w:t>比上年增加0.00万元，增长0.00%，主要原因是：2023年与2024年均未安排财政拨款“三公”经费支出。其中：因公出国（境）费支出0.00万元，占0.00%，比上年增加0.00万元，增长0.00%，主要原因是：2023年与2024年均未安排因公出国（境）费支出。公务用车购置及运行维护费支出0.00万元，占0.00%，比上年增加0.00万元，增长0.00%，主要原因是：2023年与2024年均未安排公务用车购置及运行维护费支出。公务接待费支出0.00万元，占0.00%，比上年增加0.00万元，增长0.00%，主要原因是：2023年与2024年均未安排公务接待费支出。</w:t>
      </w:r>
    </w:p>
    <w:p>
      <w:pPr>
        <w:spacing w:line="580" w:lineRule="exact"/>
        <w:ind w:firstLine="640"/>
        <w:jc w:val="both"/>
      </w:pPr>
      <w:r>
        <w:rPr>
          <w:rFonts w:ascii="仿宋_GB2312" w:hAnsi="仿宋_GB2312" w:eastAsia="仿宋_GB2312"/>
          <w:b/>
          <w:sz w:val="32"/>
        </w:rPr>
        <w:t>具体情况如下：</w:t>
      </w:r>
    </w:p>
    <w:p>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pPr>
        <w:spacing w:line="580" w:lineRule="exact"/>
        <w:ind w:firstLine="640"/>
        <w:jc w:val="both"/>
      </w:pPr>
      <w:r>
        <w:rPr>
          <w:rFonts w:ascii="仿宋_GB2312" w:hAnsi="仿宋_GB2312" w:eastAsia="仿宋_GB2312"/>
          <w:b w:val="0"/>
          <w:sz w:val="32"/>
        </w:rPr>
        <w:t>公务用车购置及运行维护费0.00万元，其中：公务用车购置费0.00万元，公务用车运行维护费0.00万元。公务用车运行维护费开支内容包括本单位无公务用车运行维护费。公务用车购置数0辆，公务用车保有量0辆。国有资产占用情况中固定资产车辆0辆，与公务用车保有量差异原因是：本单位无固定资产车辆。</w:t>
      </w:r>
    </w:p>
    <w:p>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0.00万元，决算数0.00万元，预决算差异率0.00%，主要原因是：本单位无财政拨款“三公”经费支出。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维护费全年预算数0.00万元，决算数0.00万元，预决算差异率0.00%，主要原因是：本单位无公务用车运行维护费。公务接待费全年预算数0.00万元，决算数0.00万元，预决算差异率0.00%，主要原因是：本单位无公务接待费。</w:t>
      </w:r>
    </w:p>
    <w:p>
      <w:pPr>
        <w:spacing w:line="640" w:lineRule="exact"/>
        <w:ind w:firstLine="640"/>
        <w:jc w:val="both"/>
        <w:outlineLvl w:val="2"/>
      </w:pPr>
      <w:r>
        <w:rPr>
          <w:rFonts w:ascii="黑体" w:hAnsi="黑体" w:eastAsia="黑体"/>
          <w:sz w:val="32"/>
        </w:rPr>
        <w:t>十、其他重要事项的情况说明</w:t>
      </w:r>
    </w:p>
    <w:p>
      <w:pPr>
        <w:spacing w:line="640" w:lineRule="exact"/>
        <w:ind w:firstLine="640"/>
        <w:jc w:val="both"/>
        <w:outlineLvl w:val="3"/>
      </w:pPr>
      <w:r>
        <w:rPr>
          <w:rFonts w:ascii="楷体_GB2312" w:hAnsi="楷体_GB2312" w:eastAsia="楷体_GB2312"/>
          <w:b/>
          <w:sz w:val="32"/>
        </w:rPr>
        <w:t>（一）机关运行经费及公用经费支出情况</w:t>
      </w:r>
    </w:p>
    <w:p>
      <w:pPr>
        <w:spacing w:line="580" w:lineRule="exact"/>
        <w:ind w:firstLine="640"/>
        <w:jc w:val="both"/>
      </w:pPr>
      <w:r>
        <w:rPr>
          <w:rFonts w:ascii="仿宋_GB2312" w:hAnsi="仿宋_GB2312" w:eastAsia="仿宋_GB2312"/>
          <w:b w:val="0"/>
          <w:sz w:val="32"/>
        </w:rPr>
        <w:t>2024年度阿图什市昆山育才学校（事业单位）公用经费支出57.28万元，比上年增加0.00万元，增长0.00%，主要原因是：本年取暖费与上年一致，无变化。</w:t>
      </w:r>
    </w:p>
    <w:p>
      <w:pPr>
        <w:spacing w:line="640" w:lineRule="exact"/>
        <w:ind w:firstLine="640"/>
        <w:jc w:val="both"/>
        <w:outlineLvl w:val="3"/>
      </w:pPr>
      <w:r>
        <w:rPr>
          <w:rFonts w:ascii="楷体_GB2312" w:hAnsi="楷体_GB2312" w:eastAsia="楷体_GB2312"/>
          <w:b/>
          <w:sz w:val="32"/>
        </w:rPr>
        <w:t>（二）政府采购情况</w:t>
      </w:r>
    </w:p>
    <w:p>
      <w:pPr>
        <w:spacing w:line="580" w:lineRule="exact"/>
        <w:ind w:firstLine="640"/>
        <w:jc w:val="both"/>
      </w:pPr>
      <w:r>
        <w:rPr>
          <w:rFonts w:ascii="仿宋_GB2312" w:hAnsi="仿宋_GB2312" w:eastAsia="仿宋_GB2312"/>
          <w:b w:val="0"/>
          <w:sz w:val="32"/>
        </w:rPr>
        <w:t>2024年度政府采购支出总额169.17万元，其中：政府采购货物支出77.07万元、政府采购工程支出29.93万元、政府采购服务支出62.18万元。</w:t>
      </w:r>
    </w:p>
    <w:p>
      <w:pPr>
        <w:spacing w:line="580" w:lineRule="exact"/>
        <w:ind w:firstLine="640"/>
        <w:jc w:val="both"/>
      </w:pPr>
      <w:r>
        <w:rPr>
          <w:rFonts w:ascii="仿宋_GB2312" w:hAnsi="仿宋_GB2312" w:eastAsia="仿宋_GB2312"/>
          <w:b w:val="0"/>
          <w:sz w:val="32"/>
        </w:rPr>
        <w:t>授予中小企业合同金额166.25万元，占政府采购支出总额的98.27%，其中：授予小微企业合同金额161.97万元，占政府采购支出总额的95.74%。</w:t>
      </w:r>
    </w:p>
    <w:p>
      <w:pPr>
        <w:spacing w:line="640" w:lineRule="exact"/>
        <w:ind w:firstLine="640"/>
        <w:jc w:val="both"/>
        <w:outlineLvl w:val="3"/>
      </w:pPr>
      <w:r>
        <w:rPr>
          <w:rFonts w:ascii="楷体_GB2312" w:hAnsi="楷体_GB2312" w:eastAsia="楷体_GB2312"/>
          <w:b/>
          <w:sz w:val="32"/>
        </w:rPr>
        <w:t>（三）国有资产占用情况说明</w:t>
      </w:r>
    </w:p>
    <w:p>
      <w:pPr>
        <w:spacing w:line="580" w:lineRule="exact"/>
        <w:ind w:firstLine="640"/>
        <w:jc w:val="both"/>
      </w:pPr>
      <w:r>
        <w:rPr>
          <w:rFonts w:ascii="仿宋_GB2312" w:hAnsi="仿宋_GB2312" w:eastAsia="仿宋_GB2312"/>
          <w:b w:val="0"/>
          <w:sz w:val="32"/>
        </w:rPr>
        <w:t>截至2024年12月31日，房屋31,339.77平方米，价值8,540.21万元。车辆0辆，价值0.00万元，其中：副部（省）级及以上领导用车0辆、主要负责人用车0辆、机要通信用车0辆、应急保障用车0辆、执法执勤用车0辆、特种专业技术用车0辆、离退休干部服务用车0辆、其他用车0辆，其他用车主要是：本单位无其他用车。单价100万元（含）以上设备（不含车辆）0台（套）。</w:t>
      </w:r>
    </w:p>
    <w:p>
      <w:pPr>
        <w:spacing w:line="640" w:lineRule="exact"/>
        <w:ind w:firstLine="640"/>
        <w:jc w:val="both"/>
        <w:outlineLvl w:val="2"/>
      </w:pPr>
      <w:r>
        <w:rPr>
          <w:rFonts w:ascii="黑体" w:hAnsi="黑体" w:eastAsia="黑体"/>
          <w:sz w:val="32"/>
        </w:rPr>
        <w:t>十一、预算绩效的情况说明</w:t>
      </w:r>
    </w:p>
    <w:p>
      <w:pPr>
        <w:spacing w:line="580" w:lineRule="exact"/>
        <w:ind w:firstLine="640"/>
        <w:jc w:val="both"/>
      </w:pPr>
      <w:r>
        <w:rPr>
          <w:rFonts w:ascii="仿宋_GB2312" w:hAnsi="仿宋_GB2312" w:eastAsia="仿宋_GB2312"/>
          <w:b w:val="0"/>
          <w:sz w:val="32"/>
        </w:rPr>
        <w:t>根据预算绩效管理要求，本单位2024年度预算绩效管理形成整体支出绩效自评表1个，全年预算总额2,373.97万元，实际执行总额2,289.62万元；预算绩效评价项目0个，全年预算数0.00万元，全年执行数0.00万元。预算绩效管理取得的成效：</w:t>
      </w:r>
      <w:r>
        <w:rPr>
          <w:rFonts w:hint="eastAsia" w:ascii="仿宋_GB2312" w:hAnsi="仿宋_GB2312" w:eastAsia="仿宋_GB2312"/>
          <w:b w:val="0"/>
          <w:sz w:val="32"/>
          <w:lang w:eastAsia="zh-CN"/>
        </w:rPr>
        <w:t>本单位</w:t>
      </w:r>
      <w:r>
        <w:rPr>
          <w:rFonts w:ascii="仿宋_GB2312" w:hAnsi="仿宋_GB2312" w:eastAsia="仿宋_GB2312"/>
          <w:b w:val="0"/>
          <w:sz w:val="32"/>
        </w:rPr>
        <w:t>无绩效自评项目。发现的问题及原因：</w:t>
      </w:r>
      <w:r>
        <w:rPr>
          <w:rFonts w:hint="eastAsia" w:ascii="仿宋_GB2312" w:hAnsi="仿宋_GB2312" w:eastAsia="仿宋_GB2312"/>
          <w:b w:val="0"/>
          <w:sz w:val="32"/>
          <w:lang w:eastAsia="zh-CN"/>
        </w:rPr>
        <w:t>本单位</w:t>
      </w:r>
      <w:r>
        <w:rPr>
          <w:rFonts w:ascii="仿宋_GB2312" w:hAnsi="仿宋_GB2312" w:eastAsia="仿宋_GB2312"/>
          <w:b w:val="0"/>
          <w:sz w:val="32"/>
        </w:rPr>
        <w:t>无绩效自评项目。下一步改进措施：</w:t>
      </w:r>
      <w:r>
        <w:rPr>
          <w:rFonts w:hint="eastAsia" w:ascii="仿宋_GB2312" w:hAnsi="仿宋_GB2312" w:eastAsia="仿宋_GB2312"/>
          <w:b w:val="0"/>
          <w:sz w:val="32"/>
          <w:lang w:eastAsia="zh-CN"/>
        </w:rPr>
        <w:t>本单位</w:t>
      </w:r>
      <w:r>
        <w:rPr>
          <w:rFonts w:ascii="仿宋_GB2312" w:hAnsi="仿宋_GB2312" w:eastAsia="仿宋_GB2312"/>
          <w:b w:val="0"/>
          <w:sz w:val="32"/>
        </w:rPr>
        <w:t>无绩效自评项目。具体附整体支出绩效自评表。</w:t>
      </w:r>
    </w:p>
    <w:p>
      <w:r>
        <w:br w:type="page"/>
      </w:r>
    </w:p>
    <w:tbl>
      <w:tblPr>
        <w:tblStyle w:val="9"/>
        <w:tblW w:w="0" w:type="auto"/>
        <w:tblInd w:w="0" w:type="dxa"/>
        <w:tblLayout w:type="autofit"/>
        <w:tblCellMar>
          <w:top w:w="0" w:type="dxa"/>
          <w:left w:w="108" w:type="dxa"/>
          <w:bottom w:w="0" w:type="dxa"/>
          <w:right w:w="108" w:type="dxa"/>
        </w:tblCellMar>
      </w:tblPr>
      <w:tblGrid>
        <w:gridCol w:w="1105"/>
        <w:gridCol w:w="1105"/>
        <w:gridCol w:w="1105"/>
        <w:gridCol w:w="1105"/>
        <w:gridCol w:w="1105"/>
        <w:gridCol w:w="1105"/>
        <w:gridCol w:w="1105"/>
        <w:gridCol w:w="1105"/>
      </w:tblGrid>
      <w:tr>
        <w:tblPrEx>
          <w:tblCellMar>
            <w:top w:w="0" w:type="dxa"/>
            <w:left w:w="108" w:type="dxa"/>
            <w:bottom w:w="0" w:type="dxa"/>
            <w:right w:w="108" w:type="dxa"/>
          </w:tblCellMar>
        </w:tblPrEx>
        <w:tc>
          <w:tcPr>
            <w:tcW w:w="8840" w:type="dxa"/>
            <w:gridSpan w:val="8"/>
            <w:vAlign w:val="center"/>
          </w:tcPr>
          <w:p>
            <w:pPr>
              <w:jc w:val="center"/>
            </w:pPr>
            <w:r>
              <w:rPr>
                <w:rFonts w:ascii="宋体" w:hAnsi="宋体" w:eastAsia="宋体"/>
                <w:sz w:val="24"/>
              </w:rPr>
              <w:t>单位整体支出绩效自评表</w:t>
            </w:r>
          </w:p>
        </w:tc>
      </w:tr>
      <w:tr>
        <w:tblPrEx>
          <w:tblCellMar>
            <w:top w:w="0" w:type="dxa"/>
            <w:left w:w="108" w:type="dxa"/>
            <w:bottom w:w="0" w:type="dxa"/>
            <w:right w:w="108" w:type="dxa"/>
          </w:tblCellMar>
        </w:tblPrEx>
        <w:tc>
          <w:tcPr>
            <w:tcW w:w="8840" w:type="dxa"/>
            <w:gridSpan w:val="8"/>
            <w:vAlign w:val="center"/>
          </w:tcPr>
          <w:p>
            <w:pPr>
              <w:jc w:val="center"/>
            </w:pPr>
            <w:r>
              <w:rPr>
                <w:rFonts w:ascii="宋体" w:hAnsi="宋体" w:eastAsia="宋体"/>
                <w:sz w:val="24"/>
              </w:rPr>
              <w:t>（2024年度）</w:t>
            </w:r>
          </w:p>
        </w:tc>
      </w:tr>
      <w:tr>
        <w:tblPrEx>
          <w:tblCellMar>
            <w:top w:w="0" w:type="dxa"/>
            <w:left w:w="108" w:type="dxa"/>
            <w:bottom w:w="0" w:type="dxa"/>
            <w:right w:w="108" w:type="dxa"/>
          </w:tblCellMar>
        </w:tblPrEx>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单位名称</w:t>
            </w:r>
          </w:p>
        </w:tc>
        <w:tc>
          <w:tcPr>
            <w:tcW w:w="7735"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阿图什市昆山育才学校</w:t>
            </w:r>
          </w:p>
        </w:tc>
      </w:tr>
      <w:tr>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年度预算（万元）</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资金来源</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年初预算数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预算数（调整后）</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执行数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分值权重</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执行率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得分</w:t>
            </w:r>
          </w:p>
        </w:tc>
      </w:tr>
      <w:tr>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年度总资金：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1,830.58</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2,373.97</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2,289.62</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96.45%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9</w:t>
            </w:r>
            <w:r>
              <w:rPr>
                <w:rFonts w:hint="eastAsia" w:ascii="宋体" w:hAnsi="宋体"/>
                <w:sz w:val="16"/>
                <w:lang w:val="en-US" w:eastAsia="zh-CN"/>
              </w:rPr>
              <w:t>.65</w:t>
            </w:r>
          </w:p>
        </w:tc>
      </w:tr>
      <w:tr>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上级资金：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213.37</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213.37</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r>
      <w:tr>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本级资金：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1,830.58</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2,160.60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2,076.25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r>
      <w:tr>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其他资金：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r>
      <w:tr>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年度总体目标</w:t>
            </w:r>
          </w:p>
        </w:tc>
        <w:tc>
          <w:tcPr>
            <w:tcW w:w="3315"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预期目标</w:t>
            </w:r>
          </w:p>
        </w:tc>
        <w:tc>
          <w:tcPr>
            <w:tcW w:w="4420"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实际完成情况</w:t>
            </w:r>
          </w:p>
        </w:tc>
      </w:tr>
      <w:tr>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3315"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pPr>
              <w:jc w:val="both"/>
            </w:pPr>
            <w:r>
              <w:rPr>
                <w:rFonts w:ascii="宋体" w:hAnsi="宋体" w:eastAsia="宋体"/>
                <w:sz w:val="16"/>
              </w:rPr>
              <w:t>单位基本职能：正确贯彻执行党和国家的教育方针、政策、法规；维护学校的教学秩序，为学生创造良好的学习环境；积极稳妥地推进教育改革，按教育规律办事，不断提高教育质量；根据学校规模，设置学校管理机构，建立健全各项规章制度和岗位责任制；坚持教书育人，服务育人，环境育人方针，加强对学生思想品德教育，使学生的德智体全面发展；抓好教师队伍建设，使每个教师都热心于教育事业；做好安全防范，保证学生的人身安全</w:t>
            </w:r>
            <w:r>
              <w:rPr>
                <w:rFonts w:hint="eastAsia" w:ascii="宋体" w:hAnsi="宋体"/>
                <w:sz w:val="16"/>
                <w:lang w:eastAsia="zh-CN"/>
              </w:rPr>
              <w:t>。</w:t>
            </w:r>
            <w:r>
              <w:rPr>
                <w:rFonts w:ascii="宋体" w:hAnsi="宋体" w:eastAsia="宋体"/>
                <w:sz w:val="16"/>
              </w:rPr>
              <w:t xml:space="preserve"> </w:t>
            </w:r>
            <w:r>
              <w:rPr>
                <w:rFonts w:ascii="宋体" w:hAnsi="宋体" w:eastAsia="宋体"/>
                <w:sz w:val="16"/>
              </w:rPr>
              <w:br w:type="textWrapping"/>
            </w:r>
            <w:r>
              <w:rPr>
                <w:rFonts w:ascii="宋体" w:hAnsi="宋体" w:eastAsia="宋体"/>
                <w:sz w:val="16"/>
              </w:rPr>
              <w:t xml:space="preserve">机构设置及人员配置：无下属预算单位，下设7个科室，编制数156，实有人数107人，在职107人，退休0人。 </w:t>
            </w:r>
            <w:r>
              <w:rPr>
                <w:rFonts w:ascii="宋体" w:hAnsi="宋体" w:eastAsia="宋体"/>
                <w:sz w:val="16"/>
              </w:rPr>
              <w:br w:type="textWrapping"/>
            </w:r>
            <w:r>
              <w:rPr>
                <w:rFonts w:ascii="宋体" w:hAnsi="宋体" w:eastAsia="宋体"/>
                <w:sz w:val="16"/>
              </w:rPr>
              <w:t>中长期规划：以</w:t>
            </w:r>
            <w:bookmarkStart w:id="0" w:name="_GoBack"/>
            <w:bookmarkEnd w:id="0"/>
            <w:r>
              <w:rPr>
                <w:rFonts w:ascii="宋体" w:hAnsi="宋体" w:eastAsia="宋体"/>
                <w:sz w:val="16"/>
              </w:rPr>
              <w:t xml:space="preserve">新时代中国特色社会主义思想为指导，牢记立德树人初心使命，以新时代教育人的责任担当坚持为党育人、为国育才的初衷，大力实施党建引领教育教学工程，用心用情办好人民满意的教育，着力打造“让党放心、人民满意”的模范学校。 </w:t>
            </w:r>
            <w:r>
              <w:rPr>
                <w:rFonts w:ascii="宋体" w:hAnsi="宋体" w:eastAsia="宋体"/>
                <w:sz w:val="16"/>
              </w:rPr>
              <w:br w:type="textWrapping"/>
            </w:r>
            <w:r>
              <w:rPr>
                <w:rFonts w:ascii="宋体" w:hAnsi="宋体" w:eastAsia="宋体"/>
                <w:sz w:val="16"/>
              </w:rPr>
              <w:t>保障单位在职107人的工资福利及各项补助正常发放及部门正常运转,保障单位预算项目按计划实施，便于开展检查指导学习各级各类学校工作，对全校教师开展培训工作，提高教学能力，提高支教教师幸福感、归属感，积极开展校园文化建设，培养学生身心全面发展。</w:t>
            </w:r>
            <w:r>
              <w:rPr>
                <w:rFonts w:ascii="宋体" w:hAnsi="宋体" w:eastAsia="宋体"/>
                <w:sz w:val="16"/>
              </w:rPr>
              <w:br w:type="textWrapping"/>
            </w:r>
          </w:p>
        </w:tc>
        <w:tc>
          <w:tcPr>
            <w:tcW w:w="4420"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pPr>
              <w:jc w:val="both"/>
            </w:pPr>
            <w:r>
              <w:rPr>
                <w:rFonts w:ascii="宋体" w:hAnsi="宋体" w:eastAsia="宋体"/>
                <w:sz w:val="16"/>
              </w:rPr>
              <w:t xml:space="preserve">本单位共计支出2289.62万元，用于保障部门在职107人的工资福利、各项补助正常发放及部门单位正常运转，单位预算项目根据年初计划均已完成，开展检查指导学习各级各类学校工作，对全校教师开展培训工作，提高教学能力，提高教师幸福感、归属感，积极开展校园文化建设，培养学生身心全面发展，年度任务中完成法制教育课和交通安全知识讲座20次，保障单位日常运转期限12个月，教师培训人数60人等目标。 </w:t>
            </w:r>
          </w:p>
        </w:tc>
      </w:tr>
      <w:tr>
        <w:tblPrEx>
          <w:tblCellMar>
            <w:top w:w="0" w:type="dxa"/>
            <w:left w:w="108" w:type="dxa"/>
            <w:bottom w:w="0" w:type="dxa"/>
            <w:right w:w="108" w:type="dxa"/>
          </w:tblCellMar>
        </w:tblPrEx>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一级指标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二级指标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三级指标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指标值</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指标值设定依据</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分值权重</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实际完成值</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得分</w:t>
            </w:r>
          </w:p>
        </w:tc>
      </w:tr>
      <w:tr>
        <w:tblPrEx>
          <w:tblCellMar>
            <w:top w:w="0" w:type="dxa"/>
            <w:left w:w="108" w:type="dxa"/>
            <w:bottom w:w="0" w:type="dxa"/>
            <w:right w:w="108" w:type="dxa"/>
          </w:tblCellMar>
        </w:tblPrEx>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管理效率</w:t>
            </w:r>
          </w:p>
        </w:tc>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质量指标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法制教育课和交通安全知识讲座</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&gt;=20次</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2024年度工作计划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18</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20次</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18</w:t>
            </w:r>
          </w:p>
        </w:tc>
      </w:tr>
      <w:tr>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履职效能</w:t>
            </w:r>
          </w:p>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保障单位日常运转期限</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=12个月</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2024年度工作计划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18</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12个月</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18</w:t>
            </w:r>
          </w:p>
        </w:tc>
      </w:tr>
      <w:tr>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数量指标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教师培训人数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&gt;=60人</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2024年度工作计划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18</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60人</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18</w:t>
            </w:r>
          </w:p>
        </w:tc>
      </w:tr>
      <w:tr>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培训合格率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2024年度工作计划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18</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18</w:t>
            </w:r>
          </w:p>
        </w:tc>
      </w:tr>
      <w:tr>
        <w:tblPrEx>
          <w:tblCellMar>
            <w:top w:w="0" w:type="dxa"/>
            <w:left w:w="108" w:type="dxa"/>
            <w:bottom w:w="0" w:type="dxa"/>
            <w:right w:w="108" w:type="dxa"/>
          </w:tblCellMar>
        </w:tblPrEx>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社会效益</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社会效益指标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义务教育巩固率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2024年度工作计划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18</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18</w:t>
            </w:r>
          </w:p>
        </w:tc>
      </w:tr>
    </w:tbl>
    <w:p>
      <w:r>
        <w:br w:type="page"/>
      </w:r>
    </w:p>
    <w:p>
      <w:pPr>
        <w:spacing w:line="640" w:lineRule="exact"/>
        <w:ind w:firstLine="640"/>
        <w:jc w:val="both"/>
        <w:outlineLvl w:val="2"/>
      </w:pPr>
      <w:r>
        <w:rPr>
          <w:rFonts w:ascii="黑体" w:hAnsi="黑体" w:eastAsia="黑体"/>
          <w:sz w:val="32"/>
        </w:rPr>
        <w:t>十二、其他需说明的事项</w:t>
      </w:r>
    </w:p>
    <w:p>
      <w:pPr>
        <w:spacing w:line="580" w:lineRule="exact"/>
        <w:ind w:firstLine="640"/>
        <w:jc w:val="both"/>
      </w:pPr>
      <w:r>
        <w:rPr>
          <w:rFonts w:ascii="仿宋_GB2312" w:hAnsi="仿宋_GB2312" w:eastAsia="仿宋_GB2312"/>
          <w:b w:val="0"/>
          <w:sz w:val="32"/>
        </w:rPr>
        <w:t>本单位无其他需说明的事项。</w:t>
      </w:r>
    </w:p>
    <w:p>
      <w:r>
        <w:br w:type="page"/>
      </w:r>
    </w:p>
    <w:p>
      <w:pPr>
        <w:spacing w:line="240" w:lineRule="auto"/>
        <w:jc w:val="center"/>
        <w:outlineLvl w:val="1"/>
      </w:pPr>
      <w:r>
        <w:rPr>
          <w:rFonts w:ascii="黑体" w:hAnsi="黑体" w:eastAsia="黑体"/>
          <w:sz w:val="32"/>
        </w:rPr>
        <w:t>第三部分 专业名词解释</w:t>
      </w:r>
    </w:p>
    <w:p>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r>
        <w:br w:type="page"/>
      </w:r>
    </w:p>
    <w:p>
      <w:pPr>
        <w:spacing w:line="240" w:lineRule="auto"/>
        <w:jc w:val="center"/>
        <w:outlineLvl w:val="1"/>
      </w:pPr>
      <w:r>
        <w:rPr>
          <w:rFonts w:ascii="黑体" w:hAnsi="黑体" w:eastAsia="黑体"/>
          <w:sz w:val="32"/>
        </w:rPr>
        <w:t>第四部分 部门决算报表（见附表）</w:t>
      </w:r>
    </w:p>
    <w:p>
      <w:pPr>
        <w:spacing w:line="240" w:lineRule="auto"/>
        <w:ind w:firstLine="640"/>
        <w:jc w:val="both"/>
      </w:pPr>
      <w:r>
        <w:rPr>
          <w:rFonts w:ascii="仿宋_GB2312" w:hAnsi="仿宋_GB2312" w:eastAsia="仿宋_GB2312"/>
          <w:b w:val="0"/>
          <w:sz w:val="32"/>
        </w:rPr>
        <w:t>一、《收入支出决算总表》</w:t>
      </w:r>
    </w:p>
    <w:p>
      <w:pPr>
        <w:spacing w:line="240" w:lineRule="auto"/>
        <w:ind w:firstLine="640"/>
        <w:jc w:val="both"/>
      </w:pPr>
      <w:r>
        <w:rPr>
          <w:rFonts w:ascii="仿宋_GB2312" w:hAnsi="仿宋_GB2312" w:eastAsia="仿宋_GB2312"/>
          <w:b w:val="0"/>
          <w:sz w:val="32"/>
        </w:rPr>
        <w:t>二、《收入决算表》</w:t>
      </w:r>
    </w:p>
    <w:p>
      <w:pPr>
        <w:spacing w:line="240" w:lineRule="auto"/>
        <w:ind w:firstLine="640"/>
        <w:jc w:val="both"/>
      </w:pPr>
      <w:r>
        <w:rPr>
          <w:rFonts w:ascii="仿宋_GB2312" w:hAnsi="仿宋_GB2312" w:eastAsia="仿宋_GB2312"/>
          <w:b w:val="0"/>
          <w:sz w:val="32"/>
        </w:rPr>
        <w:t>三、《支出决算表》</w:t>
      </w:r>
    </w:p>
    <w:p>
      <w:pPr>
        <w:spacing w:line="240" w:lineRule="auto"/>
        <w:ind w:firstLine="640"/>
        <w:jc w:val="both"/>
      </w:pPr>
      <w:r>
        <w:rPr>
          <w:rFonts w:ascii="仿宋_GB2312" w:hAnsi="仿宋_GB2312" w:eastAsia="仿宋_GB2312"/>
          <w:b w:val="0"/>
          <w:sz w:val="32"/>
        </w:rPr>
        <w:t>四、《财政拨款收入支出决算总表》</w:t>
      </w:r>
    </w:p>
    <w:p>
      <w:pPr>
        <w:spacing w:line="240" w:lineRule="auto"/>
        <w:ind w:firstLine="640"/>
        <w:jc w:val="both"/>
      </w:pPr>
      <w:r>
        <w:rPr>
          <w:rFonts w:ascii="仿宋_GB2312" w:hAnsi="仿宋_GB2312" w:eastAsia="仿宋_GB2312"/>
          <w:b w:val="0"/>
          <w:sz w:val="32"/>
        </w:rPr>
        <w:t>五、《一般公共预算财政拨款支出决算表》</w:t>
      </w:r>
    </w:p>
    <w:p>
      <w:pPr>
        <w:spacing w:line="240" w:lineRule="auto"/>
        <w:ind w:firstLine="640"/>
        <w:jc w:val="both"/>
      </w:pPr>
      <w:r>
        <w:rPr>
          <w:rFonts w:ascii="仿宋_GB2312" w:hAnsi="仿宋_GB2312" w:eastAsia="仿宋_GB2312"/>
          <w:b w:val="0"/>
          <w:sz w:val="32"/>
        </w:rPr>
        <w:t>六、《一般公共预算财政拨款基本支出决算表》</w:t>
      </w:r>
    </w:p>
    <w:p>
      <w:pPr>
        <w:spacing w:line="240" w:lineRule="auto"/>
        <w:ind w:firstLine="640"/>
        <w:jc w:val="both"/>
      </w:pPr>
      <w:r>
        <w:rPr>
          <w:rFonts w:ascii="仿宋_GB2312" w:hAnsi="仿宋_GB2312" w:eastAsia="仿宋_GB2312"/>
          <w:b w:val="0"/>
          <w:sz w:val="32"/>
        </w:rPr>
        <w:t>七、《政府性基金预算财政拨款收入支出决算表》</w:t>
      </w:r>
    </w:p>
    <w:p>
      <w:pPr>
        <w:spacing w:line="240" w:lineRule="auto"/>
        <w:ind w:firstLine="640"/>
        <w:jc w:val="both"/>
      </w:pPr>
      <w:r>
        <w:rPr>
          <w:rFonts w:ascii="仿宋_GB2312" w:hAnsi="仿宋_GB2312" w:eastAsia="仿宋_GB2312"/>
          <w:b w:val="0"/>
          <w:sz w:val="32"/>
        </w:rPr>
        <w:t>八、《国有资本经营预算财政拨款收入支出决算表》</w:t>
      </w:r>
    </w:p>
    <w:p>
      <w:pPr>
        <w:spacing w:line="240" w:lineRule="auto"/>
        <w:ind w:firstLine="640"/>
        <w:jc w:val="both"/>
      </w:pPr>
      <w:r>
        <w:rPr>
          <w:rFonts w:ascii="仿宋_GB2312" w:hAnsi="仿宋_GB2312" w:eastAsia="仿宋_GB2312"/>
          <w:b w:val="0"/>
          <w:sz w:val="32"/>
        </w:rPr>
        <w:t>九、《财政拨款“三公”经费支出决算表》</w:t>
      </w:r>
    </w:p>
    <w:p>
      <w:pPr>
        <w:spacing w:line="240" w:lineRule="auto"/>
        <w:ind w:firstLine="640"/>
        <w:jc w:val="both"/>
      </w:pPr>
    </w:p>
    <w:p>
      <w:pPr>
        <w:spacing w:line="240" w:lineRule="auto"/>
        <w:ind w:firstLine="640"/>
        <w:jc w:val="both"/>
      </w:pPr>
    </w:p>
    <w:p>
      <w:pPr>
        <w:spacing w:line="240" w:lineRule="auto"/>
        <w:ind w:firstLine="640"/>
        <w:jc w:val="both"/>
      </w:pPr>
    </w:p>
    <w:p>
      <w:pPr>
        <w:spacing w:line="240" w:lineRule="auto"/>
        <w:ind w:firstLine="640"/>
        <w:jc w:val="both"/>
      </w:pPr>
    </w:p>
    <w:p>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panose1 w:val="03000509000000000000"/>
    <w:charset w:val="86"/>
    <w:family w:val="script"/>
    <w:pitch w:val="default"/>
    <w:sig w:usb0="00000001" w:usb1="080E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_GB2312">
    <w:altName w:val="楷体"/>
    <w:panose1 w:val="02010609030101010101"/>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9071D6C"/>
    <w:rsid w:val="19B5554D"/>
    <w:rsid w:val="1B8F2D19"/>
    <w:rsid w:val="1C317E4F"/>
    <w:rsid w:val="1C472464"/>
    <w:rsid w:val="1DAF458D"/>
    <w:rsid w:val="1E086ACE"/>
    <w:rsid w:val="1E4B5CA5"/>
    <w:rsid w:val="1E8F6677"/>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59128C3"/>
    <w:rsid w:val="464B7E04"/>
    <w:rsid w:val="464F7E64"/>
    <w:rsid w:val="46901EEE"/>
    <w:rsid w:val="469C74D2"/>
    <w:rsid w:val="47445515"/>
    <w:rsid w:val="4B4C0111"/>
    <w:rsid w:val="4BB23021"/>
    <w:rsid w:val="4F3F074E"/>
    <w:rsid w:val="50DB5F45"/>
    <w:rsid w:val="52F92565"/>
    <w:rsid w:val="543D17CB"/>
    <w:rsid w:val="55DA564E"/>
    <w:rsid w:val="56E07045"/>
    <w:rsid w:val="583059FA"/>
    <w:rsid w:val="587E6212"/>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 w:val="7B9700AF"/>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17</Pages>
  <Words>4671</Words>
  <Characters>5418</Characters>
  <Lines>0</Lines>
  <Paragraphs>0</Paragraphs>
  <TotalTime>5</TotalTime>
  <ScaleCrop>false</ScaleCrop>
  <LinksUpToDate>false</LinksUpToDate>
  <CharactersWithSpaces>5430</CharactersWithSpaces>
  <Application>WPS Office_11.8.2.11500_F1E327BC-269C-435d-A152-05C5408002CA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Administrator</cp:lastModifiedBy>
  <cp:lastPrinted>2024-07-22T11:58:00Z</cp:lastPrinted>
  <dcterms:modified xsi:type="dcterms:W3CDTF">2025-09-14T05:11:51Z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2052-11.8.2.11500</vt:lpwstr>
  </property>
  <property fmtid="{D5CDD505-2E9C-101B-9397-08002B2CF9AE}" pid="3" name="ICV">
    <vt:lpwstr>B858A68E913346F885B5BC17D4DBEB06_13</vt:lpwstr>
  </property>
  <property fmtid="{D5CDD505-2E9C-101B-9397-08002B2CF9AE}" pid="4" name="KSOTemplateDocerSaveRecord">
    <vt:lpwstr>eyJoZGlkIjoiNTI1YjZjNWU3OWYyMDg0MTE1NTQ2MDk1OTA4YjU2ZjIiLCJ1c2VySWQiOiIxMDY0NzI0MTYxIn0=</vt:lpwstr>
  </property>
</Properties>
</file>