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中共阿图什市吐古买提乡委员会2024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在市委领导下发挥领导核心作用，认真贯彻党的路线、方针、政策和上级党组织的决定；负责对本乡政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作出决策；负责全乡党的政策、思想、组织和作风建设、抓好委员会的自身建设、基层党组织建设工作：按照上级规定的干部管理权限，负责抓好乡属部门单位负责人的考察、培养、使用和管理，努力造就一支高素质党员干部。领导乡人大、人民政府乡纪委、工会、共青团、妇联和人武部等工作</w:t>
      </w:r>
      <w:r>
        <w:rPr>
          <w:rFonts w:hint="eastAsia" w:ascii="仿宋_GB2312" w:hAnsi="仿宋_GB2312" w:eastAsia="仿宋_GB2312"/>
          <w:sz w:val="32"/>
          <w:lang w:eastAsia="zh-CN"/>
        </w:rPr>
        <w:t>；</w:t>
      </w:r>
      <w:r>
        <w:rPr>
          <w:rFonts w:ascii="仿宋_GB2312" w:hAnsi="仿宋_GB2312" w:eastAsia="仿宋_GB2312"/>
          <w:sz w:val="32"/>
        </w:rPr>
        <w:t>研究解决涉及群众利益的重大问题；办理市委、市委员会政府交办的其他任务。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中共阿图什市吐古买提乡委员会2024年度，</w:t>
      </w:r>
      <w:bookmarkStart w:id="0" w:name="_GoBack"/>
      <w:bookmarkEnd w:id="0"/>
      <w:r>
        <w:rPr>
          <w:rFonts w:ascii="仿宋_GB2312" w:hAnsi="仿宋_GB2312" w:eastAsia="仿宋_GB2312"/>
          <w:sz w:val="32"/>
        </w:rPr>
        <w:t>实有人数17人，其中：在职人员17人，增加0人；离休人员0人，增加0人；退休人员0人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中共阿图什市吐古买提乡委员会无下属预算单位，下设5个科室，分别是：党政办公室、党建办公室、综合</w:t>
      </w:r>
      <w:r>
        <w:rPr>
          <w:rFonts w:hint="eastAsia" w:ascii="仿宋_GB2312" w:hAnsi="仿宋_GB2312" w:eastAsia="仿宋_GB2312"/>
          <w:sz w:val="32"/>
          <w:lang w:eastAsia="zh-CN"/>
        </w:rPr>
        <w:t>zf</w:t>
      </w:r>
      <w:r>
        <w:rPr>
          <w:rFonts w:ascii="仿宋_GB2312" w:hAnsi="仿宋_GB2312" w:eastAsia="仿宋_GB2312"/>
          <w:sz w:val="32"/>
        </w:rPr>
        <w:t>办公室、经济发展和财政办公室、社会事务办公室。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2024年度收入总计249.84万元，</w:t>
      </w:r>
      <w:r>
        <w:rPr>
          <w:rFonts w:ascii="仿宋_GB2312" w:hAnsi="仿宋_GB2312" w:eastAsia="仿宋_GB2312"/>
          <w:b w:val="0"/>
          <w:sz w:val="32"/>
        </w:rPr>
        <w:t>其中：本年收入合计249.84万元，使用非财政拨款结余（含专用结余）0.00万元，年初结转和结余0.00万元。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2024年度支出总计249.84万元，</w:t>
      </w:r>
      <w:r>
        <w:rPr>
          <w:rFonts w:ascii="仿宋_GB2312" w:hAnsi="仿宋_GB2312" w:eastAsia="仿宋_GB2312"/>
          <w:b w:val="0"/>
          <w:sz w:val="32"/>
        </w:rPr>
        <w:t>其中：本年支出合计249.84万元，结余分配0.00万元，年末结转和结余0.00万元。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收入支出总体与上年相比，增加20.82万元，增长9.09%，主要原因是：本年在职人员工资调增，社保、公积金基数调增，人员经费增加。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本年收入249.84万元，</w:t>
      </w:r>
      <w:r>
        <w:rPr>
          <w:rFonts w:ascii="仿宋_GB2312" w:hAnsi="仿宋_GB2312" w:eastAsia="仿宋_GB2312"/>
          <w:b w:val="0"/>
          <w:sz w:val="32"/>
        </w:rPr>
        <w:t>其中：财政拨款收入249.84万元，占100.00%；上级补助收入0.00万元，占0.00%；事业收入0.00万元，占0.00%；经营收入0.00万元，占0.00%；附属单位上缴收入0.00万元，占0.00%；其他收入0.00万元，占0.00%。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本年支出249.84万元，</w:t>
      </w:r>
      <w:r>
        <w:rPr>
          <w:rFonts w:ascii="仿宋_GB2312" w:hAnsi="仿宋_GB2312" w:eastAsia="仿宋_GB2312"/>
          <w:b w:val="0"/>
          <w:sz w:val="32"/>
        </w:rPr>
        <w:t>其中：基本支出249.84万元，占100.00%；项目支出0.00万元，占0.00%；上缴上级支出0.00万元，占0.00%；经营支出0.00万元，占0.00%；对附属单位补助支出0.00万元，占0.00%。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2024年度财政拨款收入总计249.84万元，</w:t>
      </w:r>
      <w:r>
        <w:rPr>
          <w:rFonts w:ascii="仿宋_GB2312" w:hAnsi="仿宋_GB2312" w:eastAsia="仿宋_GB2312"/>
          <w:b w:val="0"/>
          <w:sz w:val="32"/>
        </w:rPr>
        <w:t>其中：年初财政拨款结转和结余0.00万元，本年财政拨款收入249.84万元。</w:t>
      </w:r>
      <w:r>
        <w:rPr>
          <w:rFonts w:ascii="仿宋_GB2312" w:hAnsi="仿宋_GB2312" w:eastAsia="仿宋_GB2312"/>
          <w:b/>
          <w:sz w:val="32"/>
        </w:rPr>
        <w:t>财政拨款支出总计249.84万元，</w:t>
      </w:r>
      <w:r>
        <w:rPr>
          <w:rFonts w:ascii="仿宋_GB2312" w:hAnsi="仿宋_GB2312" w:eastAsia="仿宋_GB2312"/>
          <w:b w:val="0"/>
          <w:sz w:val="32"/>
        </w:rPr>
        <w:t>其中：年末财政拨款结转和结余0.00万元，本年财政拨款支出249.84万元。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增加20.82万元，增长9.09%，主要原因是：本年在职人员工资调增，社保、公积金基数调增，人员经费增加。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年初预算数250.52万元，决算数249.84万元，预决算差异率-0.27%，主要原因是：严格落实中央八项规定精神，厉行节约，减少不必要的开支。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2024年度一般公共预算财政拨款支出249.84万元，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增加20.82万元，增长9.09%，主要原因是：本年在职人员工资调增，社保、公积金基数调增，人员经费增加。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年初预算数250.52万元，决算数249.84万元，预决算差异率-0.27%，主要原因是：严格落实中央八项规定精神，厉行节约，减少不必要的开支。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1.一般公共服务支出(类)210.27万元</w:t>
      </w:r>
      <w:r>
        <w:rPr>
          <w:rFonts w:hint="eastAsia" w:ascii="仿宋_GB2312" w:hAnsi="仿宋_GB2312" w:eastAsia="仿宋_GB2312"/>
          <w:b w:val="0"/>
          <w:sz w:val="32"/>
          <w:lang w:eastAsia="zh-CN"/>
        </w:rPr>
        <w:t>，</w:t>
      </w:r>
      <w:r>
        <w:rPr>
          <w:rFonts w:ascii="仿宋_GB2312" w:hAnsi="仿宋_GB2312" w:eastAsia="仿宋_GB2312"/>
          <w:b w:val="0"/>
          <w:sz w:val="32"/>
        </w:rPr>
        <w:t>占84.16%。</w:t>
      </w:r>
    </w:p>
    <w:p>
      <w:pPr>
        <w:spacing w:line="580" w:lineRule="exact"/>
        <w:ind w:firstLine="640"/>
        <w:jc w:val="both"/>
      </w:pPr>
      <w:r>
        <w:rPr>
          <w:rFonts w:ascii="仿宋_GB2312" w:hAnsi="仿宋_GB2312" w:eastAsia="仿宋_GB2312"/>
          <w:b w:val="0"/>
          <w:sz w:val="32"/>
        </w:rPr>
        <w:t>2.社会保障和就业支出(类)17.42万元</w:t>
      </w:r>
      <w:r>
        <w:rPr>
          <w:rFonts w:hint="eastAsia" w:ascii="仿宋_GB2312" w:hAnsi="仿宋_GB2312" w:eastAsia="仿宋_GB2312"/>
          <w:b w:val="0"/>
          <w:sz w:val="32"/>
          <w:lang w:eastAsia="zh-CN"/>
        </w:rPr>
        <w:t>，</w:t>
      </w:r>
      <w:r>
        <w:rPr>
          <w:rFonts w:ascii="仿宋_GB2312" w:hAnsi="仿宋_GB2312" w:eastAsia="仿宋_GB2312"/>
          <w:b w:val="0"/>
          <w:sz w:val="32"/>
        </w:rPr>
        <w:t>占6.97%。</w:t>
      </w:r>
    </w:p>
    <w:p>
      <w:pPr>
        <w:spacing w:line="580" w:lineRule="exact"/>
        <w:ind w:firstLine="640"/>
        <w:jc w:val="both"/>
      </w:pPr>
      <w:r>
        <w:rPr>
          <w:rFonts w:ascii="仿宋_GB2312" w:hAnsi="仿宋_GB2312" w:eastAsia="仿宋_GB2312"/>
          <w:b w:val="0"/>
          <w:sz w:val="32"/>
        </w:rPr>
        <w:t>3.卫生健康支出(类)7.16万元</w:t>
      </w:r>
      <w:r>
        <w:rPr>
          <w:rFonts w:hint="eastAsia" w:ascii="仿宋_GB2312" w:hAnsi="仿宋_GB2312" w:eastAsia="仿宋_GB2312"/>
          <w:b w:val="0"/>
          <w:sz w:val="32"/>
          <w:lang w:eastAsia="zh-CN"/>
        </w:rPr>
        <w:t>，</w:t>
      </w:r>
      <w:r>
        <w:rPr>
          <w:rFonts w:ascii="仿宋_GB2312" w:hAnsi="仿宋_GB2312" w:eastAsia="仿宋_GB2312"/>
          <w:b w:val="0"/>
          <w:sz w:val="32"/>
        </w:rPr>
        <w:t>占2.87%。</w:t>
      </w:r>
    </w:p>
    <w:p>
      <w:pPr>
        <w:spacing w:line="580" w:lineRule="exact"/>
        <w:ind w:firstLine="640"/>
        <w:jc w:val="both"/>
      </w:pPr>
      <w:r>
        <w:rPr>
          <w:rFonts w:ascii="仿宋_GB2312" w:hAnsi="仿宋_GB2312" w:eastAsia="仿宋_GB2312"/>
          <w:b w:val="0"/>
          <w:sz w:val="32"/>
        </w:rPr>
        <w:t>4.住房保障支出(类)14.98万元</w:t>
      </w:r>
      <w:r>
        <w:rPr>
          <w:rFonts w:hint="eastAsia" w:ascii="仿宋_GB2312" w:hAnsi="仿宋_GB2312" w:eastAsia="仿宋_GB2312"/>
          <w:b w:val="0"/>
          <w:sz w:val="32"/>
          <w:lang w:eastAsia="zh-CN"/>
        </w:rPr>
        <w:t>，</w:t>
      </w:r>
      <w:r>
        <w:rPr>
          <w:rFonts w:ascii="仿宋_GB2312" w:hAnsi="仿宋_GB2312" w:eastAsia="仿宋_GB2312"/>
          <w:b w:val="0"/>
          <w:sz w:val="32"/>
        </w:rPr>
        <w:t>占6.00%。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支出决算数为145.10万元，比上年决算减少50.60万元，下降25.86%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支出决算数为65.17万元，比上年决算增加65.17万元，增长100.00%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主要原因是：本年功能科目调整，地方编制人员经费上年度主科列支，本年单独列支，导致经费较上年增加。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支出决算数为17.42万元，比上年决算增加1.86万元，增长11.95%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支出决算数为7.16万元，比上年决算增加1.61万元，增长29.01%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主要原因是：本年人员工资基数调增，医疗缴费基数上涨，相应支出增加。</w:t>
      </w:r>
    </w:p>
    <w:p>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支出决算数为14.98万元，比上年决算增加2.76万元，增长22.59%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2024年度一般公共预算财政拨款基本支出249.84万元，其中：</w:t>
      </w:r>
      <w:r>
        <w:rPr>
          <w:rFonts w:ascii="仿宋_GB2312" w:hAnsi="仿宋_GB2312" w:eastAsia="仿宋_GB2312"/>
          <w:b/>
          <w:sz w:val="32"/>
        </w:rPr>
        <w:t>人员经费248.34万元，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吐古买提乡委员会（行政单位和参照公务员法管理事业单位）机关运行经费支出1.50万元，比上年增加0.15万元，增长11.11%，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r>
        <w:rPr>
          <w:rFonts w:hint="eastAsia" w:ascii="仿宋_GB2312" w:hAnsi="仿宋_GB2312" w:eastAsia="仿宋_GB2312"/>
          <w:b w:val="0"/>
          <w:sz w:val="32"/>
          <w:lang w:eastAsia="zh-CN"/>
        </w:rPr>
        <w:t>zf</w:t>
      </w:r>
      <w:r>
        <w:rPr>
          <w:rFonts w:ascii="仿宋_GB2312" w:hAnsi="仿宋_GB2312" w:eastAsia="仿宋_GB2312"/>
          <w:b w:val="0"/>
          <w:sz w:val="32"/>
        </w:rPr>
        <w:t>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15FC8C-1F78-4641-B29A-28B7FB7C18D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B5A6716-779B-40E1-BFBC-4CF5620CBAC1}"/>
  </w:font>
  <w:font w:name="仿宋_GB2312">
    <w:panose1 w:val="02010609030101010101"/>
    <w:charset w:val="86"/>
    <w:family w:val="modern"/>
    <w:pitch w:val="default"/>
    <w:sig w:usb0="00000001" w:usb1="080E0000" w:usb2="00000000" w:usb3="00000000" w:csb0="00040000" w:csb1="00000000"/>
    <w:embedRegular r:id="rId3" w:fontKey="{25ECE735-6D36-4EF7-88C3-AFFAAD2C0F8A}"/>
  </w:font>
  <w:font w:name="楷体_GB2312">
    <w:panose1 w:val="02010609030101010101"/>
    <w:charset w:val="86"/>
    <w:family w:val="auto"/>
    <w:pitch w:val="default"/>
    <w:sig w:usb0="00000001" w:usb1="080E0000" w:usb2="00000000" w:usb3="00000000" w:csb0="00040000" w:csb1="00000000"/>
    <w:embedRegular r:id="rId4" w:fontKey="{7963794D-3453-49D7-9004-05D72EDCD2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E72701"/>
    <w:rsid w:val="09A729D8"/>
    <w:rsid w:val="0A3C58E8"/>
    <w:rsid w:val="0A7B4867"/>
    <w:rsid w:val="0B8C3ECC"/>
    <w:rsid w:val="0C3613A3"/>
    <w:rsid w:val="0C7227A7"/>
    <w:rsid w:val="0DCA6EF7"/>
    <w:rsid w:val="0E4B1576"/>
    <w:rsid w:val="0EA04331"/>
    <w:rsid w:val="0F9811B3"/>
    <w:rsid w:val="11E15093"/>
    <w:rsid w:val="120E0809"/>
    <w:rsid w:val="162E29B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4D37F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9A0F5C"/>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315BDE"/>
    <w:rsid w:val="583059FA"/>
    <w:rsid w:val="587E6212"/>
    <w:rsid w:val="5AFC6609"/>
    <w:rsid w:val="5B90416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18203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5013</Words>
  <Characters>5600</Characters>
  <Lines>0</Lines>
  <Paragraphs>0</Paragraphs>
  <TotalTime>3</TotalTime>
  <ScaleCrop>false</ScaleCrop>
  <LinksUpToDate>false</LinksUpToDate>
  <CharactersWithSpaces>5610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2025-09-19T04:01:14Z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