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报账工作；履行统计职责。完成上级业务主管部门和乡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阿图什市哈拉峻乡农村合作经济（统计）发展中心（财政所）2024年度，实有人数10人，其中：在职人员9人，减少1人；离休人员0人，增加0人；退休人员1人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阿图什市哈拉峻乡农村合作经济（统计）发展中心（财政所）无下属预算单位，下设3个科室，分别是：所长室、会计室、统计室。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2024年度收入总计146.60万元，</w:t>
      </w:r>
      <w:r>
        <w:rPr>
          <w:rFonts w:ascii="仿宋_GB2312" w:hAnsi="仿宋_GB2312" w:eastAsia="仿宋_GB2312"/>
          <w:b w:val="0"/>
          <w:sz w:val="32"/>
        </w:rPr>
        <w:t>其中：本年收入合计146.60万元，使用非财政拨款结余（含专用结余）0.00万元，年初结转和结余0.00万元。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2024年度支出总计146.60万元，</w:t>
      </w:r>
      <w:r>
        <w:rPr>
          <w:rFonts w:ascii="仿宋_GB2312" w:hAnsi="仿宋_GB2312" w:eastAsia="仿宋_GB2312"/>
          <w:b w:val="0"/>
          <w:sz w:val="32"/>
        </w:rPr>
        <w:t>其中：本年支出合计146.60万元，结余分配0.00万元，年末结转和结余0.00万元。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收入支出总体与上年相比，减少8.73万元，下降5.62%，主要原因是：本年事业在职人员减少，相关人员经费较上年减少。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本年收入146.60万元，</w:t>
      </w:r>
      <w:r>
        <w:rPr>
          <w:rFonts w:ascii="仿宋_GB2312" w:hAnsi="仿宋_GB2312" w:eastAsia="仿宋_GB2312"/>
          <w:b w:val="0"/>
          <w:sz w:val="32"/>
        </w:rPr>
        <w:t>其中：财政拨款收入146.60万元，占100.00%；上级补助收入0.00万元，占0.00%；事业收入0.00万元，占0.00%；经营收入0.00万元，占0.00%；附属单位上缴收入0.00万元，占0.00%；其他收入0.00万元，占0.00%。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本年支出146.60万元，</w:t>
      </w:r>
      <w:r>
        <w:rPr>
          <w:rFonts w:ascii="仿宋_GB2312" w:hAnsi="仿宋_GB2312" w:eastAsia="仿宋_GB2312"/>
          <w:b w:val="0"/>
          <w:sz w:val="32"/>
        </w:rPr>
        <w:t>其中：基本支出146.60万元，占100.00%；项目支出0.00万元，占0.00%；上缴上级支出0.00万元，占0.00%；经营支出0.00万元，占0.00%；对附属单位补助支出0.00万元，占0.00%。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2024年度财政拨款收入总计146.60万元，</w:t>
      </w:r>
      <w:r>
        <w:rPr>
          <w:rFonts w:ascii="仿宋_GB2312" w:hAnsi="仿宋_GB2312" w:eastAsia="仿宋_GB2312"/>
          <w:b w:val="0"/>
          <w:sz w:val="32"/>
        </w:rPr>
        <w:t>其中：年初财政拨款结转和结余0.00万元，本年财政拨款收入146.60万元。</w:t>
      </w:r>
      <w:r>
        <w:rPr>
          <w:rFonts w:ascii="仿宋_GB2312" w:hAnsi="仿宋_GB2312" w:eastAsia="仿宋_GB2312"/>
          <w:b/>
          <w:sz w:val="32"/>
        </w:rPr>
        <w:t>财政拨款支出总计146.60万元，</w:t>
      </w:r>
      <w:r>
        <w:rPr>
          <w:rFonts w:ascii="仿宋_GB2312" w:hAnsi="仿宋_GB2312" w:eastAsia="仿宋_GB2312"/>
          <w:b w:val="0"/>
          <w:sz w:val="32"/>
        </w:rPr>
        <w:t>其中：年末财政拨款结转和结余0.00万元，本年财政拨款支出146.60万元。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减少8.73万元，下降5.62%，主要原因是：本年事业在职人员减少，相关人员经费较上年减少。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年初预算数166.51万元，决算数146.60万元，预决算差异率-11.96%，主要原因是：本年事业在职人员减少，年中调减人员经费，导致预决算存在差异。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2024年度一般公共预算财政拨款支出146.60万元，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减少8.73万元，下降5.62%，主要原因是：本年事业在职人员减少，相关人员经费较上年减少。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年初预算数166.51万元，决算数146.60万元，预决算差异率-11.96%，主要原因是：本年事业在职人员减少，年中调减人员经费，导致预决算存在差异。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1.一般公共服务支出(类)115.68万元</w:t>
      </w:r>
      <w:r>
        <w:rPr>
          <w:rFonts w:hint="eastAsia" w:ascii="仿宋_GB2312" w:hAnsi="仿宋_GB2312" w:eastAsia="仿宋_GB2312"/>
          <w:b w:val="0"/>
          <w:sz w:val="32"/>
          <w:lang w:eastAsia="zh-CN"/>
        </w:rPr>
        <w:t>，</w:t>
      </w:r>
      <w:r>
        <w:rPr>
          <w:rFonts w:ascii="仿宋_GB2312" w:hAnsi="仿宋_GB2312" w:eastAsia="仿宋_GB2312"/>
          <w:b w:val="0"/>
          <w:sz w:val="32"/>
        </w:rPr>
        <w:t>占78.91%。</w:t>
      </w:r>
    </w:p>
    <w:p>
      <w:pPr>
        <w:spacing w:line="580" w:lineRule="exact"/>
        <w:ind w:firstLine="640"/>
        <w:jc w:val="both"/>
      </w:pPr>
      <w:r>
        <w:rPr>
          <w:rFonts w:ascii="仿宋_GB2312" w:hAnsi="仿宋_GB2312" w:eastAsia="仿宋_GB2312"/>
          <w:b w:val="0"/>
          <w:sz w:val="32"/>
        </w:rPr>
        <w:t>2.社会保障和就业支出(类)14.97万元</w:t>
      </w:r>
      <w:r>
        <w:rPr>
          <w:rFonts w:hint="eastAsia" w:ascii="仿宋_GB2312" w:hAnsi="仿宋_GB2312" w:eastAsia="仿宋_GB2312"/>
          <w:b w:val="0"/>
          <w:sz w:val="32"/>
          <w:lang w:eastAsia="zh-CN"/>
        </w:rPr>
        <w:t>，</w:t>
      </w:r>
      <w:r>
        <w:rPr>
          <w:rFonts w:ascii="仿宋_GB2312" w:hAnsi="仿宋_GB2312" w:eastAsia="仿宋_GB2312"/>
          <w:b w:val="0"/>
          <w:sz w:val="32"/>
        </w:rPr>
        <w:t>占10.21%。</w:t>
      </w:r>
    </w:p>
    <w:p>
      <w:pPr>
        <w:spacing w:line="580" w:lineRule="exact"/>
        <w:ind w:firstLine="640"/>
        <w:jc w:val="both"/>
      </w:pPr>
      <w:r>
        <w:rPr>
          <w:rFonts w:ascii="仿宋_GB2312" w:hAnsi="仿宋_GB2312" w:eastAsia="仿宋_GB2312"/>
          <w:b w:val="0"/>
          <w:sz w:val="32"/>
        </w:rPr>
        <w:t>3.卫生健康支出(类)4.70万元</w:t>
      </w:r>
      <w:r>
        <w:rPr>
          <w:rFonts w:hint="eastAsia" w:ascii="仿宋_GB2312" w:hAnsi="仿宋_GB2312" w:eastAsia="仿宋_GB2312"/>
          <w:b w:val="0"/>
          <w:sz w:val="32"/>
          <w:lang w:eastAsia="zh-CN"/>
        </w:rPr>
        <w:t>，</w:t>
      </w:r>
      <w:r>
        <w:rPr>
          <w:rFonts w:ascii="仿宋_GB2312" w:hAnsi="仿宋_GB2312" w:eastAsia="仿宋_GB2312"/>
          <w:b w:val="0"/>
          <w:sz w:val="32"/>
        </w:rPr>
        <w:t>占3.21%。</w:t>
      </w:r>
    </w:p>
    <w:p>
      <w:pPr>
        <w:spacing w:line="580" w:lineRule="exact"/>
        <w:ind w:firstLine="640"/>
        <w:jc w:val="both"/>
      </w:pPr>
      <w:r>
        <w:rPr>
          <w:rFonts w:ascii="仿宋_GB2312" w:hAnsi="仿宋_GB2312" w:eastAsia="仿宋_GB2312"/>
          <w:b w:val="0"/>
          <w:sz w:val="32"/>
        </w:rPr>
        <w:t>4.住房保障支出(类)11.25万元</w:t>
      </w:r>
      <w:r>
        <w:rPr>
          <w:rFonts w:hint="eastAsia" w:ascii="仿宋_GB2312" w:hAnsi="仿宋_GB2312" w:eastAsia="仿宋_GB2312"/>
          <w:b w:val="0"/>
          <w:sz w:val="32"/>
          <w:lang w:eastAsia="zh-CN"/>
        </w:rPr>
        <w:t>，</w:t>
      </w:r>
      <w:r>
        <w:rPr>
          <w:rFonts w:ascii="仿宋_GB2312" w:hAnsi="仿宋_GB2312" w:eastAsia="仿宋_GB2312"/>
          <w:b w:val="0"/>
          <w:sz w:val="32"/>
        </w:rPr>
        <w:t>占7.67%。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支出决算数为0.00万元，比上年决算减少3.12万元，下降100.00%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主要原因是：本年减少办公费、邮电费等，导致此科目支出减少。</w:t>
      </w:r>
    </w:p>
    <w:p>
      <w:pPr>
        <w:spacing w:line="580" w:lineRule="exact"/>
        <w:ind w:firstLine="640"/>
        <w:jc w:val="both"/>
      </w:pPr>
      <w:r>
        <w:rPr>
          <w:rFonts w:ascii="仿宋_GB2312" w:hAnsi="仿宋_GB2312" w:eastAsia="仿宋_GB2312"/>
          <w:b w:val="0"/>
          <w:sz w:val="32"/>
        </w:rPr>
        <w:t>2.一般公共服务支出(类)财政事务(款)行政运行(项)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支出决算数为19.43万元，比上年决算增加3.32万元，增长20.61%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主要原因是：本年行政在职人员工资调增，导致相关人员经费较上年有所增加。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3.一般公共服务支出(类)财政事务(款)事业运行(项)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支出决算数为96.26万元，比上年决算减少8.54万元，下降8.15%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主要原因是：本年事业在职人员减少，相应人员经费较上年减少。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支出决算数为1.14万元，比上年决算增加0.16万元，增长16.33%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支出决算数为13.83万元，比上年决算增加0.02万元，增长0.14%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支出决算数为0.74万元，比上年决算增加0.09万元，增长13.85%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主要原因是：本年行政在职人员工资基数调增，医疗缴费基数上涨，相应支出增加。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支出决算数为3.95万元，比上年决算减少0.18万元，下降4.36%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主要原因是：本年事业在职人员减少，事业单位医疗支出较上年减少。</w:t>
      </w:r>
    </w:p>
    <w:p>
      <w:pPr>
        <w:spacing w:line="580" w:lineRule="exact"/>
        <w:ind w:firstLine="640"/>
        <w:jc w:val="both"/>
      </w:pPr>
      <w:r>
        <w:rPr>
          <w:rFonts w:ascii="仿宋_GB2312" w:hAnsi="仿宋_GB2312" w:eastAsia="仿宋_GB2312"/>
          <w:b w:val="0"/>
          <w:sz w:val="32"/>
        </w:rPr>
        <w:t>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支出决算数为11.25万元，比上年决算减少0.49万元，下降4.17%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2024年度一般公共预算财政拨款基本支出146.60万元，其中：</w:t>
      </w:r>
      <w:r>
        <w:rPr>
          <w:rFonts w:ascii="仿宋_GB2312" w:hAnsi="仿宋_GB2312" w:eastAsia="仿宋_GB2312"/>
          <w:b/>
          <w:sz w:val="32"/>
        </w:rPr>
        <w:t>人员经费145.10万元，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包括：办公费、电费、邮电费。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农村合作经济（统计）发展中心（财政所）（行政单位和参照公务员法管理事业单位）机关运行经费支出1.50万元，比上年增加0.75万元，增长100.00%，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2024年度政府采购支出总额0.39万元，其中：政府采购货物支出0.39万元、政府采购工程支出0.00万元、政府采购服务支出0.00万元。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授予中小企业合同金额0.39万元，占政府采购支出总额的100.00%，其中：授予小微企业合同金额0.39万元，占政府采购支出总额的100.00%。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072EEF-0F4F-4E45-8458-BC74126CD26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C2373557-1ED3-43CE-BF84-33A65B7D5B76}"/>
  </w:font>
  <w:font w:name="仿宋_GB2312">
    <w:panose1 w:val="02010609030101010101"/>
    <w:charset w:val="86"/>
    <w:family w:val="modern"/>
    <w:pitch w:val="default"/>
    <w:sig w:usb0="00000001" w:usb1="080E0000" w:usb2="00000000" w:usb3="00000000" w:csb0="00040000" w:csb1="00000000"/>
    <w:embedRegular r:id="rId3" w:fontKey="{8F041FC4-D9B8-4ABA-BF78-3492304695D9}"/>
  </w:font>
  <w:font w:name="楷体_GB2312">
    <w:panose1 w:val="02010609030101010101"/>
    <w:charset w:val="86"/>
    <w:family w:val="auto"/>
    <w:pitch w:val="default"/>
    <w:sig w:usb0="00000001" w:usb1="080E0000" w:usb2="00000000" w:usb3="00000000" w:csb0="00040000" w:csb1="00000000"/>
    <w:embedRegular r:id="rId4" w:fontKey="{C564DEFC-A6BE-42BD-9CFB-4125C9295EA3}"/>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52050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531A58"/>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E672AD"/>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5063</Words>
  <Characters>5693</Characters>
  <Lines>0</Lines>
  <Paragraphs>0</Paragraphs>
  <TotalTime>0</TotalTime>
  <ScaleCrop>false</ScaleCrop>
  <LinksUpToDate>false</LinksUpToDate>
  <CharactersWithSpaces>5703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2025-09-19T11:24:46Z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