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中共阿图什市阿湖乡委员会2024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BF4C50A">
      <w:r>
        <w:br w:type="page"/>
      </w:r>
    </w:p>
    <w:p w14:paraId="1C426FE2">
      <w:pPr>
        <w:spacing w:line="640" w:lineRule="exact"/>
        <w:jc w:val="center"/>
        <w:outlineLvl w:val="1"/>
      </w:pPr>
      <w:r>
        <w:rPr>
          <w:rFonts w:ascii="黑体" w:hAnsi="黑体" w:eastAsia="黑体"/>
          <w:sz w:val="32"/>
        </w:rPr>
        <w:t>第一部分 单位概况</w:t>
      </w:r>
    </w:p>
    <w:p w14:paraId="1831393C">
      <w:pPr>
        <w:spacing w:line="640" w:lineRule="exact"/>
        <w:ind w:firstLine="640"/>
        <w:jc w:val="both"/>
        <w:outlineLvl w:val="2"/>
      </w:pPr>
      <w:r>
        <w:rPr>
          <w:rFonts w:ascii="黑体" w:hAnsi="黑体" w:eastAsia="黑体"/>
          <w:sz w:val="32"/>
        </w:rPr>
        <w:t>一、主要职能</w:t>
      </w:r>
    </w:p>
    <w:p w14:paraId="18B9E854">
      <w:pPr>
        <w:spacing w:line="580" w:lineRule="exact"/>
        <w:ind w:firstLine="640"/>
        <w:jc w:val="both"/>
      </w:pPr>
      <w:r>
        <w:rPr>
          <w:rFonts w:ascii="仿宋_GB2312" w:hAnsi="仿宋_GB2312" w:eastAsia="仿宋_GB2312"/>
          <w:sz w:val="32"/>
        </w:rPr>
        <w:t>在市委的领导下发挥领导核心作用，认真贯彻党的路线、方针、政策和上级党组织的决定；负责对本乡政</w:t>
      </w:r>
      <w:r>
        <w:rPr>
          <w:rFonts w:hint="eastAsia" w:ascii="仿宋_GB2312" w:hAnsi="仿宋_GB2312" w:eastAsia="仿宋_GB2312"/>
          <w:sz w:val="32"/>
          <w:lang w:eastAsia="zh-CN"/>
        </w:rPr>
        <w:t>治和</w:t>
      </w:r>
      <w:r>
        <w:rPr>
          <w:rFonts w:ascii="仿宋_GB2312" w:hAnsi="仿宋_GB2312" w:eastAsia="仿宋_GB2312"/>
          <w:sz w:val="32"/>
        </w:rPr>
        <w:t>经济社会等重大事务</w:t>
      </w:r>
      <w:r>
        <w:rPr>
          <w:rFonts w:hint="eastAsia" w:ascii="仿宋_GB2312" w:hAnsi="仿宋_GB2312" w:eastAsia="仿宋_GB2312"/>
          <w:sz w:val="32"/>
          <w:lang w:eastAsia="zh-CN"/>
        </w:rPr>
        <w:t>作出</w:t>
      </w:r>
      <w:r>
        <w:rPr>
          <w:rFonts w:ascii="仿宋_GB2312" w:hAnsi="仿宋_GB2312" w:eastAsia="仿宋_GB2312"/>
          <w:sz w:val="32"/>
        </w:rPr>
        <w:t>决策；负责</w:t>
      </w:r>
      <w:r>
        <w:rPr>
          <w:rFonts w:hint="eastAsia" w:ascii="仿宋_GB2312" w:hAnsi="仿宋_GB2312" w:eastAsia="仿宋_GB2312"/>
          <w:sz w:val="32"/>
          <w:lang w:eastAsia="zh-CN"/>
        </w:rPr>
        <w:t>全乡党的政治</w:t>
      </w:r>
      <w:r>
        <w:rPr>
          <w:rFonts w:ascii="仿宋_GB2312" w:hAnsi="仿宋_GB2312" w:eastAsia="仿宋_GB2312"/>
          <w:sz w:val="32"/>
        </w:rPr>
        <w:t>、思想、组织和作风建设、抓好党委的自身建设；按照上级规定的干部管理权限，负责抓好乡属部门单位负责人的考察、培养、使用和管理，努力造就一支高素质党员干部。领导乡人大、人民政府、乡纪委等工作；搞好全乡精神文明建设，决定重要建设项目和审定数额较大的财务开支；完成上级党委安排的各项工作。</w:t>
      </w:r>
    </w:p>
    <w:p w14:paraId="0B5BE06A">
      <w:pPr>
        <w:spacing w:line="640" w:lineRule="exact"/>
        <w:ind w:firstLine="640"/>
        <w:jc w:val="both"/>
        <w:outlineLvl w:val="2"/>
      </w:pPr>
      <w:r>
        <w:rPr>
          <w:rFonts w:ascii="黑体" w:hAnsi="黑体" w:eastAsia="黑体"/>
          <w:sz w:val="32"/>
        </w:rPr>
        <w:t>二、机构设置及人员情况</w:t>
      </w:r>
    </w:p>
    <w:p w14:paraId="51A3C0D5">
      <w:pPr>
        <w:spacing w:line="580" w:lineRule="exact"/>
        <w:ind w:firstLine="640"/>
        <w:jc w:val="both"/>
      </w:pPr>
      <w:r>
        <w:rPr>
          <w:rFonts w:ascii="仿宋_GB2312" w:hAnsi="仿宋_GB2312" w:eastAsia="仿宋_GB2312"/>
          <w:sz w:val="32"/>
        </w:rPr>
        <w:t>中共阿图什市阿湖乡委员会2024年度，实有人数37人，其中：在职人员36人，减少4人；离休人员0人，增加0人；退休人员1人,增加0人。</w:t>
      </w:r>
    </w:p>
    <w:p w14:paraId="68ACF425">
      <w:pPr>
        <w:spacing w:line="580" w:lineRule="exact"/>
        <w:ind w:firstLine="640"/>
        <w:jc w:val="both"/>
      </w:pPr>
      <w:r>
        <w:rPr>
          <w:rFonts w:ascii="仿宋_GB2312" w:hAnsi="仿宋_GB2312" w:eastAsia="仿宋_GB2312"/>
          <w:sz w:val="32"/>
        </w:rPr>
        <w:t>中共阿图什市阿湖乡委员会无下属预算单位，下设4个科室，分别是：</w:t>
      </w:r>
      <w:r>
        <w:rPr>
          <w:rFonts w:hint="eastAsia" w:ascii="仿宋_GB2312" w:hAnsi="仿宋_GB2312" w:eastAsia="仿宋_GB2312"/>
          <w:sz w:val="32"/>
          <w:lang w:eastAsia="zh-CN"/>
        </w:rPr>
        <w:t>党建</w:t>
      </w:r>
      <w:r>
        <w:rPr>
          <w:rFonts w:ascii="仿宋_GB2312" w:hAnsi="仿宋_GB2312" w:eastAsia="仿宋_GB2312"/>
          <w:sz w:val="32"/>
        </w:rPr>
        <w:t>办、综治办、宣传办、团委办。</w:t>
      </w:r>
    </w:p>
    <w:p w14:paraId="389739A5">
      <w:r>
        <w:br w:type="page"/>
      </w:r>
    </w:p>
    <w:p w14:paraId="26599981">
      <w:pPr>
        <w:spacing w:line="240" w:lineRule="auto"/>
        <w:jc w:val="center"/>
        <w:outlineLvl w:val="1"/>
      </w:pPr>
      <w:r>
        <w:rPr>
          <w:rFonts w:ascii="黑体" w:hAnsi="黑体" w:eastAsia="黑体"/>
          <w:sz w:val="32"/>
        </w:rPr>
        <w:t>第二部分 部门决算情况说明</w:t>
      </w:r>
    </w:p>
    <w:p w14:paraId="4505A86F">
      <w:pPr>
        <w:spacing w:line="640" w:lineRule="exact"/>
        <w:ind w:firstLine="640"/>
        <w:jc w:val="both"/>
        <w:outlineLvl w:val="2"/>
      </w:pPr>
      <w:r>
        <w:rPr>
          <w:rFonts w:ascii="黑体" w:hAnsi="黑体" w:eastAsia="黑体"/>
          <w:sz w:val="32"/>
        </w:rPr>
        <w:t>一、收入支出决算总体情况说明</w:t>
      </w:r>
    </w:p>
    <w:p w14:paraId="31017563">
      <w:pPr>
        <w:spacing w:line="580" w:lineRule="exact"/>
        <w:ind w:firstLine="640"/>
        <w:jc w:val="both"/>
      </w:pPr>
      <w:r>
        <w:rPr>
          <w:rFonts w:ascii="仿宋_GB2312" w:hAnsi="仿宋_GB2312" w:eastAsia="仿宋_GB2312"/>
          <w:b/>
          <w:sz w:val="32"/>
        </w:rPr>
        <w:t>2024年度收入总计579.68万元，</w:t>
      </w:r>
      <w:r>
        <w:rPr>
          <w:rFonts w:ascii="仿宋_GB2312" w:hAnsi="仿宋_GB2312" w:eastAsia="仿宋_GB2312"/>
          <w:b w:val="0"/>
          <w:sz w:val="32"/>
        </w:rPr>
        <w:t>其中：本年收入合计579.68万元，使用非财政拨款结余（含专用结余）0.00万元，年初结转和结余0.00万元。</w:t>
      </w:r>
    </w:p>
    <w:p w14:paraId="4364EE80">
      <w:pPr>
        <w:spacing w:line="580" w:lineRule="exact"/>
        <w:ind w:firstLine="640"/>
        <w:jc w:val="both"/>
      </w:pPr>
      <w:r>
        <w:rPr>
          <w:rFonts w:ascii="仿宋_GB2312" w:hAnsi="仿宋_GB2312" w:eastAsia="仿宋_GB2312"/>
          <w:b/>
          <w:sz w:val="32"/>
        </w:rPr>
        <w:t>2024年度支出总计579.68万元，</w:t>
      </w:r>
      <w:r>
        <w:rPr>
          <w:rFonts w:ascii="仿宋_GB2312" w:hAnsi="仿宋_GB2312" w:eastAsia="仿宋_GB2312"/>
          <w:b w:val="0"/>
          <w:sz w:val="32"/>
        </w:rPr>
        <w:t>其中：本年支出合计579.68万元，结余分配0.00万元，年末结转和结余0.00万元。</w:t>
      </w:r>
    </w:p>
    <w:p w14:paraId="35EA1E0F">
      <w:pPr>
        <w:spacing w:line="580" w:lineRule="exact"/>
        <w:ind w:firstLine="640"/>
        <w:jc w:val="both"/>
      </w:pPr>
      <w:r>
        <w:rPr>
          <w:rFonts w:ascii="仿宋_GB2312" w:hAnsi="仿宋_GB2312" w:eastAsia="仿宋_GB2312"/>
          <w:b w:val="0"/>
          <w:sz w:val="32"/>
        </w:rPr>
        <w:t>收入支出总体与上年相比，减少58.51万元，下降9.17%，主要原因是：本年在职人员减少，相关人员经费较上年减少。</w:t>
      </w:r>
    </w:p>
    <w:p w14:paraId="0FC6C8C3">
      <w:pPr>
        <w:spacing w:line="640" w:lineRule="exact"/>
        <w:ind w:firstLine="640"/>
        <w:jc w:val="both"/>
        <w:outlineLvl w:val="2"/>
      </w:pPr>
      <w:r>
        <w:rPr>
          <w:rFonts w:ascii="黑体" w:hAnsi="黑体" w:eastAsia="黑体"/>
          <w:sz w:val="32"/>
        </w:rPr>
        <w:t>二、收入决算情况说明</w:t>
      </w:r>
    </w:p>
    <w:p w14:paraId="7C4BA496">
      <w:pPr>
        <w:spacing w:line="580" w:lineRule="exact"/>
        <w:ind w:firstLine="640"/>
        <w:jc w:val="both"/>
      </w:pPr>
      <w:r>
        <w:rPr>
          <w:rFonts w:ascii="仿宋_GB2312" w:hAnsi="仿宋_GB2312" w:eastAsia="仿宋_GB2312"/>
          <w:b/>
          <w:sz w:val="32"/>
        </w:rPr>
        <w:t>本年收入579.68万元，</w:t>
      </w:r>
      <w:r>
        <w:rPr>
          <w:rFonts w:ascii="仿宋_GB2312" w:hAnsi="仿宋_GB2312" w:eastAsia="仿宋_GB2312"/>
          <w:b w:val="0"/>
          <w:sz w:val="32"/>
        </w:rPr>
        <w:t>其中：财政拨款收入579.68万元，占100.00%；上级补助收入0.00万元，占0.00%；事业收入0.00万元，占0.00%；经营收入0.00万元，占0.00%；附属单位上缴收入0.00万元，占0.00%；其他收入0.00万元，占0.00%。</w:t>
      </w:r>
    </w:p>
    <w:p w14:paraId="0676924F">
      <w:pPr>
        <w:spacing w:line="640" w:lineRule="exact"/>
        <w:ind w:firstLine="640"/>
        <w:jc w:val="both"/>
        <w:outlineLvl w:val="2"/>
      </w:pPr>
      <w:r>
        <w:rPr>
          <w:rFonts w:ascii="黑体" w:hAnsi="黑体" w:eastAsia="黑体"/>
          <w:sz w:val="32"/>
        </w:rPr>
        <w:t>三、支出决算情况说明</w:t>
      </w:r>
    </w:p>
    <w:p w14:paraId="37B35A26">
      <w:pPr>
        <w:spacing w:line="580" w:lineRule="exact"/>
        <w:ind w:firstLine="640"/>
        <w:jc w:val="both"/>
      </w:pPr>
      <w:r>
        <w:rPr>
          <w:rFonts w:ascii="仿宋_GB2312" w:hAnsi="仿宋_GB2312" w:eastAsia="仿宋_GB2312"/>
          <w:b/>
          <w:sz w:val="32"/>
        </w:rPr>
        <w:t>本年支出579.68万元，</w:t>
      </w:r>
      <w:r>
        <w:rPr>
          <w:rFonts w:ascii="仿宋_GB2312" w:hAnsi="仿宋_GB2312" w:eastAsia="仿宋_GB2312"/>
          <w:b w:val="0"/>
          <w:sz w:val="32"/>
        </w:rPr>
        <w:t>其中：基本支出579.68万元，占100.00%；项目支出0.00万元，占0.00%；上缴上级支出0.00万元，占0.00%；经营支出0.00万元，占0.00%；对附属单位补助支出0.00万元，占0.00%。</w:t>
      </w:r>
    </w:p>
    <w:p w14:paraId="7EF2114F">
      <w:pPr>
        <w:spacing w:line="640" w:lineRule="exact"/>
        <w:ind w:firstLine="640"/>
        <w:jc w:val="both"/>
        <w:outlineLvl w:val="2"/>
      </w:pPr>
      <w:r>
        <w:rPr>
          <w:rFonts w:ascii="黑体" w:hAnsi="黑体" w:eastAsia="黑体"/>
          <w:sz w:val="32"/>
        </w:rPr>
        <w:t>四、财政拨款收入支出决算总体情况说明</w:t>
      </w:r>
    </w:p>
    <w:p w14:paraId="3469074E">
      <w:pPr>
        <w:spacing w:line="580" w:lineRule="exact"/>
        <w:ind w:firstLine="640"/>
        <w:jc w:val="both"/>
      </w:pPr>
      <w:r>
        <w:rPr>
          <w:rFonts w:ascii="仿宋_GB2312" w:hAnsi="仿宋_GB2312" w:eastAsia="仿宋_GB2312"/>
          <w:b/>
          <w:sz w:val="32"/>
        </w:rPr>
        <w:t>2024年度财政拨款收入总计579.68万元，</w:t>
      </w:r>
      <w:r>
        <w:rPr>
          <w:rFonts w:ascii="仿宋_GB2312" w:hAnsi="仿宋_GB2312" w:eastAsia="仿宋_GB2312"/>
          <w:b w:val="0"/>
          <w:sz w:val="32"/>
        </w:rPr>
        <w:t>其中：年初财政拨款结转和结余0.00万元，本年财政拨款收入579.68万元。</w:t>
      </w:r>
      <w:r>
        <w:rPr>
          <w:rFonts w:ascii="仿宋_GB2312" w:hAnsi="仿宋_GB2312" w:eastAsia="仿宋_GB2312"/>
          <w:b/>
          <w:sz w:val="32"/>
        </w:rPr>
        <w:t>财政拨款支出总计579.68万元，</w:t>
      </w:r>
      <w:r>
        <w:rPr>
          <w:rFonts w:ascii="仿宋_GB2312" w:hAnsi="仿宋_GB2312" w:eastAsia="仿宋_GB2312"/>
          <w:b w:val="0"/>
          <w:sz w:val="32"/>
        </w:rPr>
        <w:t>其中：年末财政拨款结转和结余0.00万元，本年财政拨款支出579.68万元。</w:t>
      </w:r>
    </w:p>
    <w:p w14:paraId="78E8B35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减少58.51万元，下降9.17%，主要原因是：本年在职人员减少，相关人员经费较上年减少。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年初预算数627.61万元，决算数579.68万元，预决算差异率-7.64%，主要原因是：本年在职人员减少，年中调减人员经费，导致预决算存在差异。</w:t>
      </w:r>
    </w:p>
    <w:p w14:paraId="16111B5B">
      <w:pPr>
        <w:spacing w:line="640" w:lineRule="exact"/>
        <w:ind w:firstLine="640"/>
        <w:jc w:val="both"/>
        <w:outlineLvl w:val="2"/>
      </w:pPr>
      <w:r>
        <w:rPr>
          <w:rFonts w:ascii="黑体" w:hAnsi="黑体" w:eastAsia="黑体"/>
          <w:sz w:val="32"/>
        </w:rPr>
        <w:t>五、一般公共预算财政拨款支出决算情况说明</w:t>
      </w:r>
    </w:p>
    <w:p w14:paraId="1656040F">
      <w:pPr>
        <w:spacing w:line="640" w:lineRule="exact"/>
        <w:ind w:firstLine="640"/>
        <w:jc w:val="both"/>
        <w:outlineLvl w:val="3"/>
      </w:pPr>
      <w:r>
        <w:rPr>
          <w:rFonts w:ascii="楷体_GB2312" w:hAnsi="楷体_GB2312" w:eastAsia="楷体_GB2312"/>
          <w:b/>
          <w:sz w:val="32"/>
        </w:rPr>
        <w:t>（一）一般公共预算财政拨款支出决算总体情况</w:t>
      </w:r>
    </w:p>
    <w:p w14:paraId="234F396F">
      <w:pPr>
        <w:spacing w:line="580" w:lineRule="exact"/>
        <w:ind w:firstLine="640"/>
        <w:jc w:val="both"/>
      </w:pPr>
      <w:r>
        <w:rPr>
          <w:rFonts w:ascii="仿宋_GB2312" w:hAnsi="仿宋_GB2312" w:eastAsia="仿宋_GB2312"/>
          <w:b/>
          <w:sz w:val="32"/>
        </w:rPr>
        <w:t>2024年度一般公共预算财政拨款支出579.68万元，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减少58.51万元，下降9.17%，主要原因是：本年在职人员减少，相关人员经费较上年减少。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年初预算数627.61万元，决算数579.68万元，预决算差异率-7.64%，主要原因是：本年在职人员减少，年中调减人员经费，导致预决算存在差异。</w:t>
      </w:r>
    </w:p>
    <w:p w14:paraId="2CEB59A5">
      <w:pPr>
        <w:spacing w:line="640" w:lineRule="exact"/>
        <w:ind w:firstLine="640"/>
        <w:jc w:val="both"/>
        <w:outlineLvl w:val="3"/>
      </w:pPr>
      <w:r>
        <w:rPr>
          <w:rFonts w:ascii="楷体_GB2312" w:hAnsi="楷体_GB2312" w:eastAsia="楷体_GB2312"/>
          <w:b/>
          <w:sz w:val="32"/>
        </w:rPr>
        <w:t>（二）一般公共预算财政拨款支出决算结构情况</w:t>
      </w:r>
    </w:p>
    <w:p w14:paraId="1C0623E8">
      <w:pPr>
        <w:spacing w:line="580" w:lineRule="exact"/>
        <w:ind w:firstLine="640"/>
        <w:jc w:val="both"/>
      </w:pPr>
      <w:r>
        <w:rPr>
          <w:rFonts w:ascii="仿宋_GB2312" w:hAnsi="仿宋_GB2312" w:eastAsia="仿宋_GB2312"/>
          <w:b w:val="0"/>
          <w:sz w:val="32"/>
        </w:rPr>
        <w:t>1.一般公共服务支出(类)467.07万元,占80.57%。</w:t>
      </w:r>
    </w:p>
    <w:p w14:paraId="0638CD67">
      <w:pPr>
        <w:spacing w:line="580" w:lineRule="exact"/>
        <w:ind w:firstLine="640"/>
        <w:jc w:val="both"/>
      </w:pPr>
      <w:r>
        <w:rPr>
          <w:rFonts w:ascii="仿宋_GB2312" w:hAnsi="仿宋_GB2312" w:eastAsia="仿宋_GB2312"/>
          <w:b w:val="0"/>
          <w:sz w:val="32"/>
        </w:rPr>
        <w:t>2.社会保障和就业支出(类)51.11万元,占8.82%。</w:t>
      </w:r>
    </w:p>
    <w:p w14:paraId="2105B9E6">
      <w:pPr>
        <w:spacing w:line="580" w:lineRule="exact"/>
        <w:ind w:firstLine="640"/>
        <w:jc w:val="both"/>
      </w:pPr>
      <w:r>
        <w:rPr>
          <w:rFonts w:ascii="仿宋_GB2312" w:hAnsi="仿宋_GB2312" w:eastAsia="仿宋_GB2312"/>
          <w:b w:val="0"/>
          <w:sz w:val="32"/>
        </w:rPr>
        <w:t>3.卫生健康支出(类)21.51万元,占3.71%。</w:t>
      </w:r>
    </w:p>
    <w:p w14:paraId="0F2FA6A2">
      <w:pPr>
        <w:spacing w:line="580" w:lineRule="exact"/>
        <w:ind w:firstLine="640"/>
        <w:jc w:val="both"/>
      </w:pPr>
      <w:r>
        <w:rPr>
          <w:rFonts w:ascii="仿宋_GB2312" w:hAnsi="仿宋_GB2312" w:eastAsia="仿宋_GB2312"/>
          <w:b w:val="0"/>
          <w:sz w:val="32"/>
        </w:rPr>
        <w:t>4.住房保障支出(类)39.98万元,占6.90%。</w:t>
      </w:r>
    </w:p>
    <w:p w14:paraId="4AF7D82F">
      <w:pPr>
        <w:spacing w:line="640" w:lineRule="exact"/>
        <w:ind w:firstLine="640"/>
        <w:jc w:val="both"/>
        <w:outlineLvl w:val="3"/>
      </w:pPr>
      <w:r>
        <w:rPr>
          <w:rFonts w:ascii="楷体_GB2312" w:hAnsi="楷体_GB2312" w:eastAsia="楷体_GB2312"/>
          <w:b/>
          <w:sz w:val="32"/>
        </w:rPr>
        <w:t>（三）一般公共预算财政拨款支出决算具体情况</w:t>
      </w:r>
    </w:p>
    <w:p w14:paraId="5B1985B6">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1.一般公共服务支出(类)党委办公厅（室）及相关机构事务(款)行政运行(项):支出决算数为409.91万元，比上年决算减少101.68万元，下降19.88%,主要原因是：本年在职人员减少，相应人员经费较上年减少。</w:t>
      </w:r>
    </w:p>
    <w:p w14:paraId="1D675D18">
      <w:pPr>
        <w:spacing w:line="580" w:lineRule="exact"/>
        <w:ind w:firstLine="640"/>
        <w:jc w:val="both"/>
      </w:pPr>
      <w:r>
        <w:rPr>
          <w:rFonts w:ascii="仿宋_GB2312" w:hAnsi="仿宋_GB2312" w:eastAsia="仿宋_GB2312"/>
          <w:b w:val="0"/>
          <w:sz w:val="32"/>
        </w:rPr>
        <w:t>2.一般公共服务支出(类)党委办公厅（室）及相关机构事务(款)事业运行(项):支出决算数为57.16万元，比上年决算增加57.16万元，增长100.00%,主要原因是：</w:t>
      </w:r>
      <w:r>
        <w:rPr>
          <w:rFonts w:hint="eastAsia" w:ascii="仿宋_GB2312" w:hAnsi="仿宋_GB2312" w:eastAsia="仿宋_GB2312"/>
          <w:b w:val="0"/>
          <w:sz w:val="32"/>
        </w:rPr>
        <w:t>本年功能科目调整，部分人员经费调整至本科目列支，导致经费支出增加</w:t>
      </w:r>
      <w:r>
        <w:rPr>
          <w:rFonts w:ascii="仿宋_GB2312" w:hAnsi="仿宋_GB2312" w:eastAsia="仿宋_GB2312"/>
          <w:b w:val="0"/>
          <w:sz w:val="32"/>
        </w:rPr>
        <w:t>。</w:t>
      </w:r>
    </w:p>
    <w:p w14:paraId="666C4DA2">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3.社会保障和就业支出(类)行政事业单位养老支出(款)行政单位离退休(项):支出决算数为1.45万元，比上年决算减少0.31万元，下降17.61%,主要原因是：本年</w:t>
      </w:r>
      <w:r>
        <w:rPr>
          <w:rFonts w:hint="eastAsia" w:ascii="仿宋_GB2312" w:hAnsi="仿宋_GB2312" w:eastAsia="仿宋_GB2312"/>
          <w:b w:val="0"/>
          <w:sz w:val="32"/>
          <w:lang w:val="en-US" w:eastAsia="zh-CN"/>
        </w:rPr>
        <w:t>未补发退休人员基础绩效奖</w:t>
      </w:r>
      <w:r>
        <w:rPr>
          <w:rFonts w:ascii="仿宋_GB2312" w:hAnsi="仿宋_GB2312" w:eastAsia="仿宋_GB2312"/>
          <w:b w:val="0"/>
          <w:sz w:val="32"/>
        </w:rPr>
        <w:t>，行政单位离退休经费较上年减少。</w:t>
      </w:r>
    </w:p>
    <w:p w14:paraId="485F27A7">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49.66万元，比上年决算减少0.12万元，下降0.24%,主要原因是：本年在职人员减少，单位基本养老保险缴费较上年减少。</w:t>
      </w:r>
    </w:p>
    <w:p w14:paraId="53CD576D">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6.08万元，下降100.00%,主要原因是：本年新增退休人员较上年减少，职业年金缴费较上年减少。</w:t>
      </w:r>
    </w:p>
    <w:p w14:paraId="37ACCB82">
      <w:pPr>
        <w:spacing w:line="580" w:lineRule="exact"/>
        <w:ind w:firstLine="640"/>
        <w:jc w:val="both"/>
      </w:pPr>
      <w:r>
        <w:rPr>
          <w:rFonts w:ascii="仿宋_GB2312" w:hAnsi="仿宋_GB2312" w:eastAsia="仿宋_GB2312"/>
          <w:b w:val="0"/>
          <w:sz w:val="32"/>
        </w:rPr>
        <w:t>6.卫生健康支出(类)行政事业单位医疗(款)行政单位医疗(项):支出决算数为21.51万元，比上年决算减少0.51万元，下降2.32%,主要原因是：本年在职人员减少，行政单位医疗支出较上年减少。</w:t>
      </w:r>
    </w:p>
    <w:p w14:paraId="0B1DF618">
      <w:pPr>
        <w:spacing w:line="580" w:lineRule="exact"/>
        <w:ind w:firstLine="640"/>
        <w:jc w:val="both"/>
      </w:pPr>
      <w:r>
        <w:rPr>
          <w:rFonts w:ascii="仿宋_GB2312" w:hAnsi="仿宋_GB2312" w:eastAsia="仿宋_GB2312"/>
          <w:b w:val="0"/>
          <w:sz w:val="32"/>
        </w:rPr>
        <w:t>7.住房保障支出(类)住房改革支出(款)住房公积金(项):支出决算数为39.98万元，比上年决算减少6.97万元，下降14.85%,主要原因是：本年在职人员减少，住房公积金缴费较上年减少。</w:t>
      </w:r>
    </w:p>
    <w:p w14:paraId="461CD5AE">
      <w:pPr>
        <w:spacing w:line="640" w:lineRule="exact"/>
        <w:ind w:firstLine="640"/>
        <w:jc w:val="both"/>
        <w:outlineLvl w:val="2"/>
      </w:pPr>
      <w:r>
        <w:rPr>
          <w:rFonts w:ascii="黑体" w:hAnsi="黑体" w:eastAsia="黑体"/>
          <w:sz w:val="32"/>
        </w:rPr>
        <w:t>六、一般公共预算财政拨款基本支出决算情况说明</w:t>
      </w:r>
    </w:p>
    <w:p w14:paraId="27743A12">
      <w:pPr>
        <w:spacing w:line="580" w:lineRule="exact"/>
        <w:ind w:firstLine="640"/>
        <w:jc w:val="both"/>
      </w:pPr>
      <w:r>
        <w:rPr>
          <w:rFonts w:ascii="仿宋_GB2312" w:hAnsi="仿宋_GB2312" w:eastAsia="仿宋_GB2312"/>
          <w:b w:val="0"/>
          <w:sz w:val="32"/>
        </w:rPr>
        <w:t>2024年度一般公共预算财政拨款基本支出579.68万元，其中：</w:t>
      </w:r>
      <w:r>
        <w:rPr>
          <w:rFonts w:ascii="仿宋_GB2312" w:hAnsi="仿宋_GB2312" w:eastAsia="仿宋_GB2312"/>
          <w:b/>
          <w:sz w:val="32"/>
        </w:rPr>
        <w:t>人员经费576.68万元，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49C16FE7">
      <w:pPr>
        <w:spacing w:line="580" w:lineRule="exact"/>
        <w:ind w:firstLine="640"/>
        <w:jc w:val="both"/>
      </w:pPr>
      <w:r>
        <w:rPr>
          <w:rFonts w:ascii="仿宋_GB2312" w:hAnsi="仿宋_GB2312" w:eastAsia="仿宋_GB2312"/>
          <w:b/>
          <w:sz w:val="32"/>
        </w:rPr>
        <w:t>公用经费3.00万元，</w:t>
      </w:r>
      <w:r>
        <w:rPr>
          <w:rFonts w:ascii="仿宋_GB2312" w:hAnsi="仿宋_GB2312" w:eastAsia="仿宋_GB2312"/>
          <w:b w:val="0"/>
          <w:sz w:val="32"/>
        </w:rPr>
        <w:t>包括：办公费、电费、邮电费、维修（护）费、公务用车运行维护费。</w:t>
      </w:r>
    </w:p>
    <w:p w14:paraId="3396890A">
      <w:pPr>
        <w:spacing w:line="640" w:lineRule="exact"/>
        <w:ind w:firstLine="640"/>
        <w:jc w:val="both"/>
        <w:outlineLvl w:val="2"/>
      </w:pPr>
      <w:r>
        <w:rPr>
          <w:rFonts w:ascii="黑体" w:hAnsi="黑体" w:eastAsia="黑体"/>
          <w:sz w:val="32"/>
        </w:rPr>
        <w:t>七、政府性基金预算财政拨款收入支出决算情况说明</w:t>
      </w:r>
    </w:p>
    <w:p w14:paraId="06746B6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FB29414">
      <w:pPr>
        <w:spacing w:line="640" w:lineRule="exact"/>
        <w:ind w:firstLine="640"/>
        <w:jc w:val="both"/>
        <w:outlineLvl w:val="2"/>
      </w:pPr>
      <w:r>
        <w:rPr>
          <w:rFonts w:ascii="黑体" w:hAnsi="黑体" w:eastAsia="黑体"/>
          <w:sz w:val="32"/>
        </w:rPr>
        <w:t>八、国有资本经营预算财政拨款收入支出决算情况说明</w:t>
      </w:r>
    </w:p>
    <w:p w14:paraId="5C864AA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AF168CB">
      <w:pPr>
        <w:spacing w:line="640" w:lineRule="exact"/>
        <w:ind w:firstLine="640"/>
        <w:jc w:val="both"/>
        <w:outlineLvl w:val="2"/>
      </w:pPr>
      <w:r>
        <w:rPr>
          <w:rFonts w:ascii="黑体" w:hAnsi="黑体" w:eastAsia="黑体"/>
          <w:sz w:val="32"/>
        </w:rPr>
        <w:t>九、财政拨款“三公”经费支出决算情况说明</w:t>
      </w:r>
    </w:p>
    <w:p w14:paraId="32E95622">
      <w:pPr>
        <w:spacing w:line="580" w:lineRule="exact"/>
        <w:ind w:firstLine="640"/>
        <w:jc w:val="both"/>
      </w:pPr>
      <w:r>
        <w:rPr>
          <w:rFonts w:ascii="仿宋_GB2312" w:hAnsi="仿宋_GB2312" w:eastAsia="仿宋_GB2312"/>
          <w:b/>
          <w:sz w:val="32"/>
        </w:rPr>
        <w:t>2024年度财政拨款“三公”经费支出1.87万元，</w:t>
      </w:r>
      <w:r>
        <w:rPr>
          <w:rFonts w:ascii="仿宋_GB2312" w:hAnsi="仿宋_GB2312" w:eastAsia="仿宋_GB2312"/>
          <w:b w:val="0"/>
          <w:sz w:val="32"/>
        </w:rPr>
        <w:t>比上年增加1.87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1.87万元，占100.00%，比上年增加1.87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14:paraId="1BB4CF2D">
      <w:pPr>
        <w:spacing w:line="580" w:lineRule="exact"/>
        <w:ind w:firstLine="640"/>
        <w:jc w:val="both"/>
      </w:pPr>
      <w:r>
        <w:rPr>
          <w:rFonts w:ascii="仿宋_GB2312" w:hAnsi="仿宋_GB2312" w:eastAsia="仿宋_GB2312"/>
          <w:b/>
          <w:sz w:val="32"/>
        </w:rPr>
        <w:t>具体情况如下：</w:t>
      </w:r>
    </w:p>
    <w:p w14:paraId="3B3824F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63A1650">
      <w:pPr>
        <w:spacing w:line="580" w:lineRule="exact"/>
        <w:ind w:firstLine="640"/>
        <w:jc w:val="both"/>
      </w:pPr>
      <w:r>
        <w:rPr>
          <w:rFonts w:ascii="仿宋_GB2312" w:hAnsi="仿宋_GB2312" w:eastAsia="仿宋_GB2312"/>
          <w:b w:val="0"/>
          <w:sz w:val="32"/>
        </w:rPr>
        <w:t>公务用车购置及运行维护费1.87万元，其中：公务用车购置费0.00万元，公务用车运行维护费1.87万元。公务用车运行维护费开支内容包括车辆加油费。公务用车购置数0辆，公务用车保有量1辆。国有资产占用情况中固定资产车辆0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借用其他单位车辆，车辆费用由本单位</w:t>
      </w:r>
      <w:r>
        <w:rPr>
          <w:rFonts w:hint="eastAsia" w:ascii="仿宋_GB2312" w:hAnsi="仿宋_GB2312" w:eastAsia="仿宋_GB2312"/>
          <w:b w:val="0"/>
          <w:sz w:val="32"/>
          <w:lang w:val="en-US" w:eastAsia="zh-CN"/>
        </w:rPr>
        <w:t>公务用车运行维护费</w:t>
      </w:r>
      <w:r>
        <w:rPr>
          <w:rFonts w:ascii="仿宋_GB2312" w:hAnsi="仿宋_GB2312" w:eastAsia="仿宋_GB2312"/>
          <w:b w:val="0"/>
          <w:sz w:val="32"/>
        </w:rPr>
        <w:t>支付。</w:t>
      </w:r>
    </w:p>
    <w:p w14:paraId="6CA4486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865DA5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1.87万元，决算数1.87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1.87万元，决算数1.87万元，预决算差异率0.00%，主要原因是：严格按照预算执行，预决算无差异。公务接待费全年预算数0.00万元，决算数0.00万元，预决算差异率0.00%，主要原因是：本单位无公务接待费。</w:t>
      </w:r>
    </w:p>
    <w:p w14:paraId="0F91240B">
      <w:pPr>
        <w:spacing w:line="640" w:lineRule="exact"/>
        <w:ind w:firstLine="640"/>
        <w:jc w:val="both"/>
        <w:outlineLvl w:val="2"/>
      </w:pPr>
      <w:r>
        <w:rPr>
          <w:rFonts w:ascii="黑体" w:hAnsi="黑体" w:eastAsia="黑体"/>
          <w:sz w:val="32"/>
        </w:rPr>
        <w:t>十、其他重要事项的情况说明</w:t>
      </w:r>
    </w:p>
    <w:p w14:paraId="15CCF669">
      <w:pPr>
        <w:spacing w:line="640" w:lineRule="exact"/>
        <w:ind w:firstLine="640"/>
        <w:jc w:val="both"/>
        <w:outlineLvl w:val="3"/>
      </w:pPr>
      <w:r>
        <w:rPr>
          <w:rFonts w:ascii="楷体_GB2312" w:hAnsi="楷体_GB2312" w:eastAsia="楷体_GB2312"/>
          <w:b/>
          <w:sz w:val="32"/>
        </w:rPr>
        <w:t>（一）机关运行经费及公用经费支出情况</w:t>
      </w:r>
    </w:p>
    <w:p w14:paraId="0CCAD7C8">
      <w:pPr>
        <w:spacing w:line="580" w:lineRule="exact"/>
        <w:ind w:firstLine="640"/>
        <w:jc w:val="both"/>
      </w:pPr>
      <w:r>
        <w:rPr>
          <w:rFonts w:ascii="仿宋_GB2312" w:hAnsi="仿宋_GB2312" w:eastAsia="仿宋_GB2312"/>
          <w:b w:val="0"/>
          <w:sz w:val="32"/>
        </w:rPr>
        <w:t>2024年度中共阿图什市阿湖乡委员会（行政单位和参照公务员法管理事业单位）机关运行经费支出3.00万元，比上年增加0.00万元，增长0.00%，主要原因是：本年</w:t>
      </w:r>
      <w:r>
        <w:rPr>
          <w:rFonts w:hint="eastAsia" w:ascii="仿宋_GB2312" w:hAnsi="仿宋_GB2312" w:eastAsia="仿宋_GB2312"/>
          <w:b w:val="0"/>
          <w:sz w:val="32"/>
          <w:lang w:val="en-US" w:eastAsia="zh-CN"/>
        </w:rPr>
        <w:t>机关运行经费</w:t>
      </w:r>
      <w:r>
        <w:rPr>
          <w:rFonts w:ascii="仿宋_GB2312" w:hAnsi="仿宋_GB2312" w:eastAsia="仿宋_GB2312"/>
          <w:b w:val="0"/>
          <w:sz w:val="32"/>
        </w:rPr>
        <w:t>与上年相比一致，无变化。</w:t>
      </w:r>
    </w:p>
    <w:p w14:paraId="3A62D178">
      <w:pPr>
        <w:spacing w:line="640" w:lineRule="exact"/>
        <w:ind w:firstLine="640"/>
        <w:jc w:val="both"/>
        <w:outlineLvl w:val="3"/>
      </w:pPr>
      <w:r>
        <w:rPr>
          <w:rFonts w:ascii="楷体_GB2312" w:hAnsi="楷体_GB2312" w:eastAsia="楷体_GB2312"/>
          <w:b/>
          <w:sz w:val="32"/>
        </w:rPr>
        <w:t>（二）政府采购情况</w:t>
      </w:r>
    </w:p>
    <w:p w14:paraId="6775AE8A">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30009DE">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09E5FE5">
      <w:pPr>
        <w:spacing w:line="640" w:lineRule="exact"/>
        <w:ind w:firstLine="640"/>
        <w:jc w:val="both"/>
        <w:outlineLvl w:val="3"/>
      </w:pPr>
      <w:r>
        <w:rPr>
          <w:rFonts w:ascii="楷体_GB2312" w:hAnsi="楷体_GB2312" w:eastAsia="楷体_GB2312"/>
          <w:b/>
          <w:sz w:val="32"/>
        </w:rPr>
        <w:t>（三）国有资产占用情况说明</w:t>
      </w:r>
    </w:p>
    <w:p w14:paraId="0D66F35D">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39A728A">
      <w:pPr>
        <w:spacing w:line="640" w:lineRule="exact"/>
        <w:ind w:firstLine="640"/>
        <w:jc w:val="both"/>
        <w:outlineLvl w:val="2"/>
      </w:pPr>
      <w:r>
        <w:rPr>
          <w:rFonts w:ascii="黑体" w:hAnsi="黑体" w:eastAsia="黑体"/>
          <w:sz w:val="32"/>
        </w:rPr>
        <w:t>十一、预算绩效的情况说明</w:t>
      </w:r>
    </w:p>
    <w:p w14:paraId="1B8F0DD8">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w:t>
      </w:r>
      <w:r>
        <w:rPr>
          <w:rFonts w:hint="eastAsia" w:ascii="仿宋_GB2312" w:hAnsi="仿宋_GB2312" w:eastAsia="仿宋_GB2312"/>
          <w:b w:val="0"/>
          <w:sz w:val="32"/>
          <w:lang w:eastAsia="zh-CN"/>
        </w:rPr>
        <w:t>项目</w:t>
      </w:r>
      <w:r>
        <w:rPr>
          <w:rFonts w:ascii="仿宋_GB2312" w:hAnsi="仿宋_GB2312" w:eastAsia="仿宋_GB2312"/>
          <w:b w:val="0"/>
          <w:sz w:val="32"/>
        </w:rPr>
        <w:t>。</w:t>
      </w:r>
    </w:p>
    <w:p w14:paraId="3A210210">
      <w:r>
        <w:br w:type="page"/>
      </w:r>
    </w:p>
    <w:p w14:paraId="05047878">
      <w:pPr>
        <w:spacing w:line="640" w:lineRule="exact"/>
        <w:ind w:firstLine="640"/>
        <w:jc w:val="both"/>
        <w:outlineLvl w:val="2"/>
      </w:pPr>
      <w:r>
        <w:rPr>
          <w:rFonts w:ascii="黑体" w:hAnsi="黑体" w:eastAsia="黑体"/>
          <w:sz w:val="32"/>
        </w:rPr>
        <w:t>十二、其他需说明的事项</w:t>
      </w:r>
    </w:p>
    <w:p w14:paraId="1805851A">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14:paraId="1EFC789F">
      <w:pPr>
        <w:spacing w:line="580" w:lineRule="exact"/>
        <w:ind w:firstLine="640"/>
        <w:jc w:val="both"/>
      </w:pPr>
      <w:bookmarkStart w:id="0" w:name="_GoBack"/>
      <w:bookmarkEnd w:id="0"/>
      <w:r>
        <w:rPr>
          <w:rFonts w:ascii="仿宋_GB2312" w:hAnsi="仿宋_GB2312" w:eastAsia="仿宋_GB2312"/>
          <w:b w:val="0"/>
          <w:sz w:val="32"/>
        </w:rPr>
        <w:t>本年度本单位整体绩效自评表由阿图什市阿湖乡人民政府编报并公开。</w:t>
      </w:r>
    </w:p>
    <w:p w14:paraId="2BE5FDE5">
      <w:r>
        <w:br w:type="page"/>
      </w:r>
    </w:p>
    <w:p w14:paraId="515076FE">
      <w:pPr>
        <w:spacing w:line="240" w:lineRule="auto"/>
        <w:jc w:val="center"/>
        <w:outlineLvl w:val="1"/>
      </w:pPr>
      <w:r>
        <w:rPr>
          <w:rFonts w:ascii="黑体" w:hAnsi="黑体" w:eastAsia="黑体"/>
          <w:sz w:val="32"/>
        </w:rPr>
        <w:t>第三部分 专业名词解释</w:t>
      </w:r>
    </w:p>
    <w:p w14:paraId="2DEF874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99EDCC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2E753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BF5394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8FE194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FD07D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B4D7E3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213111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8FF78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F479E6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EC575F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14BA52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D03AF5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F50D1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6950878">
      <w:r>
        <w:br w:type="page"/>
      </w:r>
    </w:p>
    <w:p w14:paraId="675BCC1F">
      <w:pPr>
        <w:spacing w:line="240" w:lineRule="auto"/>
        <w:jc w:val="center"/>
        <w:outlineLvl w:val="1"/>
      </w:pPr>
      <w:r>
        <w:rPr>
          <w:rFonts w:ascii="黑体" w:hAnsi="黑体" w:eastAsia="黑体"/>
          <w:sz w:val="32"/>
        </w:rPr>
        <w:t>第四部分 部门决算报表（见附表）</w:t>
      </w:r>
    </w:p>
    <w:p w14:paraId="62808DD2">
      <w:pPr>
        <w:spacing w:line="240" w:lineRule="auto"/>
        <w:ind w:firstLine="640"/>
        <w:jc w:val="both"/>
      </w:pPr>
      <w:r>
        <w:rPr>
          <w:rFonts w:ascii="仿宋_GB2312" w:hAnsi="仿宋_GB2312" w:eastAsia="仿宋_GB2312"/>
          <w:b w:val="0"/>
          <w:sz w:val="32"/>
        </w:rPr>
        <w:t>一、《收入支出决算总表》</w:t>
      </w:r>
    </w:p>
    <w:p w14:paraId="56006689">
      <w:pPr>
        <w:spacing w:line="240" w:lineRule="auto"/>
        <w:ind w:firstLine="640"/>
        <w:jc w:val="both"/>
      </w:pPr>
      <w:r>
        <w:rPr>
          <w:rFonts w:ascii="仿宋_GB2312" w:hAnsi="仿宋_GB2312" w:eastAsia="仿宋_GB2312"/>
          <w:b w:val="0"/>
          <w:sz w:val="32"/>
        </w:rPr>
        <w:t>二、《收入决算表》</w:t>
      </w:r>
    </w:p>
    <w:p w14:paraId="433EF53E">
      <w:pPr>
        <w:spacing w:line="240" w:lineRule="auto"/>
        <w:ind w:firstLine="640"/>
        <w:jc w:val="both"/>
      </w:pPr>
      <w:r>
        <w:rPr>
          <w:rFonts w:ascii="仿宋_GB2312" w:hAnsi="仿宋_GB2312" w:eastAsia="仿宋_GB2312"/>
          <w:b w:val="0"/>
          <w:sz w:val="32"/>
        </w:rPr>
        <w:t>三、《支出决算表》</w:t>
      </w:r>
    </w:p>
    <w:p w14:paraId="7D8D4B08">
      <w:pPr>
        <w:spacing w:line="240" w:lineRule="auto"/>
        <w:ind w:firstLine="640"/>
        <w:jc w:val="both"/>
      </w:pPr>
      <w:r>
        <w:rPr>
          <w:rFonts w:ascii="仿宋_GB2312" w:hAnsi="仿宋_GB2312" w:eastAsia="仿宋_GB2312"/>
          <w:b w:val="0"/>
          <w:sz w:val="32"/>
        </w:rPr>
        <w:t>四、《财政拨款收入支出决算总表》</w:t>
      </w:r>
    </w:p>
    <w:p w14:paraId="277E1EB2">
      <w:pPr>
        <w:spacing w:line="240" w:lineRule="auto"/>
        <w:ind w:firstLine="640"/>
        <w:jc w:val="both"/>
      </w:pPr>
      <w:r>
        <w:rPr>
          <w:rFonts w:ascii="仿宋_GB2312" w:hAnsi="仿宋_GB2312" w:eastAsia="仿宋_GB2312"/>
          <w:b w:val="0"/>
          <w:sz w:val="32"/>
        </w:rPr>
        <w:t>五、《一般公共预算财政拨款支出决算表》</w:t>
      </w:r>
    </w:p>
    <w:p w14:paraId="2389EE50">
      <w:pPr>
        <w:spacing w:line="240" w:lineRule="auto"/>
        <w:ind w:firstLine="640"/>
        <w:jc w:val="both"/>
      </w:pPr>
      <w:r>
        <w:rPr>
          <w:rFonts w:ascii="仿宋_GB2312" w:hAnsi="仿宋_GB2312" w:eastAsia="仿宋_GB2312"/>
          <w:b w:val="0"/>
          <w:sz w:val="32"/>
        </w:rPr>
        <w:t>六、《一般公共预算财政拨款基本支出决算表》</w:t>
      </w:r>
    </w:p>
    <w:p w14:paraId="2D37BE38">
      <w:pPr>
        <w:spacing w:line="240" w:lineRule="auto"/>
        <w:ind w:firstLine="640"/>
        <w:jc w:val="both"/>
      </w:pPr>
      <w:r>
        <w:rPr>
          <w:rFonts w:ascii="仿宋_GB2312" w:hAnsi="仿宋_GB2312" w:eastAsia="仿宋_GB2312"/>
          <w:b w:val="0"/>
          <w:sz w:val="32"/>
        </w:rPr>
        <w:t>七、《政府性基金预算财政拨款收入支出决算表》</w:t>
      </w:r>
    </w:p>
    <w:p w14:paraId="26DB4555">
      <w:pPr>
        <w:spacing w:line="240" w:lineRule="auto"/>
        <w:ind w:firstLine="640"/>
        <w:jc w:val="both"/>
      </w:pPr>
      <w:r>
        <w:rPr>
          <w:rFonts w:ascii="仿宋_GB2312" w:hAnsi="仿宋_GB2312" w:eastAsia="仿宋_GB2312"/>
          <w:b w:val="0"/>
          <w:sz w:val="32"/>
        </w:rPr>
        <w:t>八、《国有资本经营预算财政拨款收入支出决算表》</w:t>
      </w:r>
    </w:p>
    <w:p w14:paraId="24754C84">
      <w:pPr>
        <w:spacing w:line="240" w:lineRule="auto"/>
        <w:ind w:firstLine="640"/>
        <w:jc w:val="both"/>
      </w:pPr>
      <w:r>
        <w:rPr>
          <w:rFonts w:ascii="仿宋_GB2312" w:hAnsi="仿宋_GB2312" w:eastAsia="仿宋_GB2312"/>
          <w:b w:val="0"/>
          <w:sz w:val="32"/>
        </w:rPr>
        <w:t>九、《财政拨款“三公”经费支出决算表》</w:t>
      </w:r>
    </w:p>
    <w:p w14:paraId="3DDEB0B2">
      <w:pPr>
        <w:spacing w:line="240" w:lineRule="auto"/>
        <w:ind w:firstLine="640"/>
        <w:jc w:val="both"/>
      </w:pPr>
    </w:p>
    <w:p w14:paraId="6ECB71F1">
      <w:pPr>
        <w:spacing w:line="240" w:lineRule="auto"/>
        <w:ind w:firstLine="640"/>
        <w:jc w:val="both"/>
      </w:pPr>
    </w:p>
    <w:p w14:paraId="0E8B4727">
      <w:pPr>
        <w:spacing w:line="240" w:lineRule="auto"/>
        <w:ind w:firstLine="640"/>
        <w:jc w:val="both"/>
      </w:pPr>
    </w:p>
    <w:p w14:paraId="376CEB98">
      <w:pPr>
        <w:spacing w:line="240" w:lineRule="auto"/>
        <w:ind w:firstLine="640"/>
        <w:jc w:val="both"/>
      </w:pPr>
    </w:p>
    <w:p w14:paraId="294482E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0A5D1E"/>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2F3D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5114</Words>
  <Characters>5725</Characters>
  <Lines>0</Lines>
  <Paragraphs>0</Paragraphs>
  <TotalTime>13</TotalTime>
  <ScaleCrop>false</ScaleCrop>
  <LinksUpToDate>false</LinksUpToDate>
  <CharactersWithSpaces>5735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2025-09-08T10:38:25Z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