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rPr>
        <w:t xml:space="preserve">阿图什市公租房维修、维护、管理及智能锁采购项目支出绩效评价报告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w:t>
      </w:r>
      <w:r>
        <w:rPr>
          <w:rFonts w:ascii="方正小标宋_GBK" w:eastAsia="方正小标宋_GBK" w:hAnsi="黑体" w:cs="仿宋_GB2312" w:hint="eastAsia"/>
          <w:bCs/>
          <w:color w:val="auto"/>
          <w:sz w:val="44"/>
          <w:szCs w:val="44"/>
          <w:highlight w:val="none"/>
          <w:lang w:eastAsia="zh-CN"/>
        </w:rPr>
        <w:t xml:space="preserve">202</w:t>
      </w:r>
      <w:r>
        <w:rPr>
          <w:rFonts w:ascii="方正小标宋_GBK" w:eastAsia="方正小标宋_GBK" w:hAnsi="黑体" w:cs="仿宋_GB2312" w:hint="eastAsia"/>
          <w:bCs/>
          <w:color w:val="auto"/>
          <w:sz w:val="44"/>
          <w:szCs w:val="44"/>
          <w:highlight w:val="none"/>
          <w:lang w:val="en-US" w:eastAsia="zh-CN"/>
        </w:rPr>
        <w:t xml:space="preserve">4</w:t>
      </w:r>
      <w:r>
        <w:rPr>
          <w:rFonts w:ascii="方正小标宋_GBK" w:eastAsia="方正小标宋_GBK" w:hAnsi="黑体" w:cs="仿宋_GB2312" w:hint="eastAsia"/>
          <w:bCs/>
          <w:color w:val="auto"/>
          <w:sz w:val="44"/>
          <w:szCs w:val="44"/>
          <w:highlight w:val="none"/>
        </w:rPr>
        <w:t xml:space="preserve">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项目名称：阿图什市公租房维修、维护、管理及智能锁采购项目</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项目单位：阿图什市城镇保障性住房服务中心</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主管部门：阿图什市城镇保障性住房服务中心</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lang w:eastAsia="zh-CN"/>
        </w:rPr>
        <w:t xml:space="preserve">202</w:t>
      </w:r>
      <w:r>
        <w:rPr>
          <w:rFonts w:ascii="黑体" w:eastAsia="黑体" w:hAnsi="黑体" w:cs="仿宋_GB2312" w:hint="eastAsia"/>
          <w:color w:val="auto"/>
          <w:sz w:val="32"/>
          <w:szCs w:val="32"/>
          <w:highlight w:val="none"/>
          <w:lang w:val="en-US" w:eastAsia="zh-CN"/>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28</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rPr>
        <w:t xml:space="preserve">阿图什市公租房维修、维护、管理及智能锁采购项目支出绩效评价报告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国家大力推进保障性住房建设</w:t>
      </w:r>
      <w:r>
        <w:rPr>
          <w:rFonts w:ascii="仿宋_GB2312" w:hAnsi="仿宋" w:cs="宋体" w:hint="eastAsia"/>
          <w:color w:val="auto"/>
          <w:sz w:val="32"/>
          <w:szCs w:val="32"/>
          <w:highlight w:val="none"/>
          <w:lang w:eastAsia="zh-CN"/>
        </w:rPr>
        <w:t xml:space="preserve">和</w:t>
      </w:r>
      <w:r>
        <w:rPr>
          <w:rFonts w:ascii="仿宋_GB2312" w:hAnsi="仿宋" w:cs="宋体" w:hint="eastAsia"/>
          <w:color w:val="auto"/>
          <w:sz w:val="32"/>
          <w:szCs w:val="32"/>
          <w:highlight w:val="none"/>
        </w:rPr>
        <w:t xml:space="preserve">管理，要求各地完善住房保障体系，阿图什市根据《自治区关于加快发展保障性租赁住房的实施意见》，在新建普通商品住房项目中配建保障性租赁住房，同时</w:t>
      </w:r>
      <w:r>
        <w:rPr>
          <w:rFonts w:ascii="仿宋_GB2312" w:hAnsi="仿宋" w:cs="宋体" w:hint="eastAsia"/>
          <w:color w:val="auto"/>
          <w:sz w:val="32"/>
          <w:szCs w:val="32"/>
          <w:highlight w:val="none"/>
          <w:lang w:val="en-US" w:eastAsia="zh-CN"/>
        </w:rPr>
        <w:t xml:space="preserve">也持续</w:t>
      </w:r>
      <w:r>
        <w:rPr>
          <w:rFonts w:ascii="仿宋_GB2312" w:hAnsi="仿宋" w:cs="宋体" w:hint="eastAsia"/>
          <w:color w:val="auto"/>
          <w:sz w:val="32"/>
          <w:szCs w:val="32"/>
          <w:highlight w:val="none"/>
        </w:rPr>
        <w:t xml:space="preserve">做好已建成保障性住房的维修、维护与管理工作。</w:t>
      </w:r>
      <w:r>
        <w:rPr>
          <w:rFonts w:ascii="仿宋_GB2312" w:hAnsi="仿宋" w:cs="宋体" w:hint="eastAsia"/>
          <w:color w:val="auto"/>
          <w:sz w:val="32"/>
          <w:szCs w:val="32"/>
          <w:highlight w:val="none"/>
          <w:lang w:val="en-US" w:eastAsia="zh-CN"/>
        </w:rPr>
        <w:t xml:space="preserve">近几年来</w:t>
      </w:r>
      <w:r>
        <w:rPr>
          <w:rFonts w:ascii="仿宋_GB2312" w:hAnsi="仿宋" w:cs="宋体" w:hint="eastAsia"/>
          <w:color w:val="auto"/>
          <w:sz w:val="32"/>
          <w:szCs w:val="32"/>
          <w:highlight w:val="none"/>
        </w:rPr>
        <w:t xml:space="preserve">中央下达资金支持新疆保障性安居工程建设，其中包括阿图什市的城镇老旧小区改造配套基础设施建设资金、棚户区改造和公租房建设资金，为相关项目提供了资金保障。</w:t>
      </w:r>
    </w:p>
    <w:p>
      <w:pPr>
        <w:snapToGrid w:val="0"/>
        <w:spacing w:line="560" w:lineRule="exact"/>
        <w:ind w:firstLine="800" w:firstLineChars="250"/>
        <w:outlineLvl w:val="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阿图什市累计开工建设公共租赁住房（含廉租房）数量众多，有12959套，且每年还有新建计划，如2023年新建保障性租赁住房200套、公租房200套，2024年新建公租房95套、保租房347套。随着时间推移，早期建设的保障性住房出现设施老化、损坏等问题，需要进行维修和维护管理以保持其居住功能和安全性。</w:t>
      </w:r>
    </w:p>
    <w:p>
      <w:pPr>
        <w:snapToGrid w:val="0"/>
        <w:spacing w:line="560" w:lineRule="exact"/>
        <w:ind w:firstLine="800" w:firstLineChars="250"/>
        <w:outlineLvl w:val="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阿图什市按照绿色、低碳、安全的标准建设保障性住房，但部分小区仍存在一些问题，如惠民小区曾出现路面坑洼、车位紧张等情况，需要通过维修和维护管理来改善。智能锁的采购是为了提升保障性住房的管理水平和安全性。传统门锁存在钥匙易丢失、遗忘等问题，智能锁可以通过指纹、密码等方式开锁，方便居民使用，同时也便于管理部门在必要时进行远程控制或权限管理，提高公租房的管理效率。阿图什市开展城镇保障性住房领域公租房分配管理专项整治工作，在规范住房分配管理的同时，也关注到住房的维修、维护管理以及配套设施的完善，以确保保障性住房资源的合理利用和居民的居住体验。</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根据《新疆维吾尔自治区公租房管理办法》，安排项目资金2106万元，为进一步提高我市公租房运行及管理水平，开展保障性住房维修，维护管理和运营1756.96万元，涉及小区9个，采购电子锁5000个</w:t>
      </w:r>
      <w:r>
        <w:rPr>
          <w:rFonts w:ascii="仿宋_GB2312" w:hAnsi="仿宋_GB2312" w:cs="仿宋_GB2312" w:hint="eastAsia"/>
          <w:color w:val="auto"/>
          <w:sz w:val="32"/>
          <w:szCs w:val="30"/>
          <w:highlight w:val="none"/>
          <w:lang w:val="en-US" w:eastAsia="zh-CN"/>
        </w:rPr>
        <w:t xml:space="preserve">,共计350万元</w:t>
      </w:r>
      <w:r>
        <w:rPr>
          <w:rFonts w:ascii="仿宋_GB2312" w:hAnsi="仿宋_GB2312" w:cs="仿宋_GB2312" w:hint="eastAsia"/>
          <w:color w:val="auto"/>
          <w:sz w:val="32"/>
          <w:szCs w:val="30"/>
          <w:highlight w:val="none"/>
        </w:rPr>
        <w:t xml:space="preserve">；通过项目的实施，确保公租房正常运转，提高安全性。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实施主体：本项目的主管部门为阿图什市住房和城乡建设局,实施单位为阿图什市城镇保障性住房服务中心，主要职责</w:t>
      </w:r>
      <w:r>
        <w:rPr>
          <w:rFonts w:ascii="仿宋_GB2312" w:hAnsi="仿宋_GB2312" w:cs="仿宋_GB2312" w:hint="eastAsia"/>
          <w:bCs/>
          <w:color w:val="auto"/>
          <w:sz w:val="32"/>
          <w:szCs w:val="30"/>
          <w:highlight w:val="none"/>
          <w:lang w:eastAsia="zh-CN"/>
        </w:rPr>
        <w:t xml:space="preserve">：</w:t>
      </w:r>
      <w:r>
        <w:rPr>
          <w:rFonts w:ascii="仿宋_GB2312" w:hAnsi="仿宋_GB2312" w:cs="仿宋_GB2312" w:hint="eastAsia"/>
          <w:bCs/>
          <w:color w:val="auto"/>
          <w:sz w:val="32"/>
          <w:szCs w:val="30"/>
          <w:highlight w:val="none"/>
        </w:rPr>
        <w:t xml:space="preserve">负责全市保障性住房建设、分配、维修、退出等相关服务管理工作，对保障性住房项目招投标、设计、施工竣工验收全过程进行监督管理，对保障性住房运营管理进行督查。</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w:t>
      </w:r>
      <w:r>
        <w:rPr>
          <w:rFonts w:ascii="仿宋_GB2312" w:hAnsi="仿宋_GB2312" w:cs="仿宋_GB2312" w:hint="eastAsia"/>
          <w:bCs/>
          <w:color w:val="auto"/>
          <w:sz w:val="32"/>
          <w:szCs w:val="30"/>
          <w:highlight w:val="none"/>
          <w:lang w:eastAsia="zh-CN"/>
        </w:rPr>
        <w:t xml:space="preserve">202</w:t>
      </w:r>
      <w:r>
        <w:rPr>
          <w:rFonts w:ascii="仿宋_GB2312" w:hAnsi="仿宋_GB2312" w:cs="仿宋_GB2312" w:hint="eastAsia"/>
          <w:bCs/>
          <w:color w:val="auto"/>
          <w:sz w:val="32"/>
          <w:szCs w:val="30"/>
          <w:highlight w:val="none"/>
          <w:lang w:val="en-US" w:eastAsia="zh-CN"/>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本项目的实施符合《自治区关于加快发展保障性租赁住房的实施意见》</w:t>
      </w:r>
      <w:r>
        <w:rPr>
          <w:rFonts w:ascii="仿宋_GB2312" w:hAnsi="仿宋_GB2312" w:cs="仿宋_GB2312" w:hint="eastAsia"/>
          <w:bCs/>
          <w:color w:val="auto"/>
          <w:sz w:val="32"/>
          <w:szCs w:val="30"/>
          <w:highlight w:val="none"/>
          <w:lang w:eastAsia="zh-CN"/>
        </w:rPr>
        <w:t xml:space="preserve">、《新疆维吾尔自治区公租房管理办法》</w:t>
      </w:r>
      <w:r>
        <w:rPr>
          <w:rFonts w:ascii="仿宋_GB2312" w:hAnsi="仿宋_GB2312" w:cs="仿宋_GB2312" w:hint="eastAsia"/>
          <w:bCs/>
          <w:color w:val="auto"/>
          <w:sz w:val="32"/>
          <w:szCs w:val="30"/>
          <w:highlight w:val="none"/>
          <w:lang w:val="en-US" w:eastAsia="zh-CN"/>
        </w:rPr>
        <w:t xml:space="preserve">等</w:t>
      </w:r>
      <w:r>
        <w:rPr>
          <w:rFonts w:ascii="仿宋_GB2312" w:hAnsi="仿宋_GB2312" w:cs="仿宋_GB2312" w:hint="eastAsia"/>
          <w:bCs/>
          <w:color w:val="auto"/>
          <w:sz w:val="32"/>
          <w:szCs w:val="30"/>
          <w:highlight w:val="none"/>
        </w:rPr>
        <w:t xml:space="preserve">相关政策要求，实际</w:t>
      </w:r>
      <w:r>
        <w:rPr>
          <w:rFonts w:ascii="仿宋_GB2312" w:hAnsi="仿宋_GB2312" w:cs="仿宋_GB2312" w:hint="eastAsia"/>
          <w:bCs/>
          <w:color w:val="auto"/>
          <w:sz w:val="32"/>
          <w:szCs w:val="30"/>
          <w:highlight w:val="none"/>
          <w:lang w:val="en-US" w:eastAsia="zh-CN"/>
        </w:rPr>
        <w:t xml:space="preserve">完成</w:t>
      </w:r>
      <w:r>
        <w:rPr>
          <w:rFonts w:ascii="仿宋_GB2312" w:hAnsi="仿宋_GB2312" w:cs="仿宋_GB2312" w:hint="eastAsia"/>
          <w:bCs/>
          <w:color w:val="auto"/>
          <w:sz w:val="32"/>
          <w:szCs w:val="30"/>
          <w:highlight w:val="none"/>
        </w:rPr>
        <w:t xml:space="preserve">保障性住房维修、维护小区数量9个，智能锁采购数量733个</w:t>
      </w:r>
      <w:r>
        <w:rPr>
          <w:rFonts w:ascii="仿宋_GB2312" w:hAnsi="仿宋_GB2312" w:cs="仿宋_GB2312" w:hint="eastAsia"/>
          <w:bCs/>
          <w:color w:val="auto"/>
          <w:sz w:val="32"/>
          <w:szCs w:val="30"/>
          <w:highlight w:val="none"/>
          <w:lang w:eastAsia="zh-CN"/>
        </w:rPr>
        <w:t xml:space="preserve">，</w:t>
      </w:r>
      <w:r>
        <w:rPr>
          <w:rFonts w:ascii="仿宋_GB2312" w:hAnsi="仿宋_GB2312" w:cs="仿宋_GB2312" w:hint="eastAsia"/>
          <w:bCs/>
          <w:color w:val="auto"/>
          <w:sz w:val="32"/>
          <w:szCs w:val="30"/>
          <w:highlight w:val="none"/>
        </w:rPr>
        <w:t xml:space="preserve">通过实施本项目确保公租房正常运转，提高</w:t>
      </w:r>
      <w:r>
        <w:rPr>
          <w:rFonts w:ascii="仿宋_GB2312" w:hAnsi="仿宋_GB2312" w:cs="仿宋_GB2312" w:hint="eastAsia"/>
          <w:bCs/>
          <w:color w:val="auto"/>
          <w:sz w:val="32"/>
          <w:szCs w:val="30"/>
          <w:highlight w:val="none"/>
          <w:lang w:val="en-US" w:eastAsia="zh-CN"/>
        </w:rPr>
        <w:t xml:space="preserve">住房</w:t>
      </w:r>
      <w:r>
        <w:rPr>
          <w:rFonts w:ascii="仿宋_GB2312" w:hAnsi="仿宋_GB2312" w:cs="仿宋_GB2312" w:hint="eastAsia"/>
          <w:bCs/>
          <w:color w:val="auto"/>
          <w:sz w:val="32"/>
          <w:szCs w:val="30"/>
          <w:highlight w:val="none"/>
        </w:rPr>
        <w:t xml:space="preserve">安全性。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资金投入情况：本项目总投资2106万元，资金来源为本级部门预算</w:t>
      </w:r>
      <w:r>
        <w:rPr>
          <w:rStyle w:val="Strong"/>
          <w:rFonts w:ascii="仿宋_GB2312" w:hAnsi="仿宋_GB2312" w:cs="仿宋_GB2312" w:hint="eastAsia"/>
          <w:b w:val="0"/>
          <w:bCs w:val="0"/>
          <w:color w:val="auto"/>
          <w:spacing w:val="-4"/>
          <w:sz w:val="32"/>
          <w:szCs w:val="30"/>
          <w:highlight w:val="none"/>
          <w:lang w:val="en-US" w:eastAsia="zh-CN"/>
        </w:rPr>
        <w:t xml:space="preserve">资金</w:t>
      </w:r>
      <w:r>
        <w:rPr>
          <w:rStyle w:val="Strong"/>
          <w:rFonts w:ascii="仿宋_GB2312" w:hAnsi="仿宋_GB2312" w:cs="仿宋_GB2312" w:hint="eastAsia"/>
          <w:b w:val="0"/>
          <w:bCs w:val="0"/>
          <w:color w:val="auto"/>
          <w:spacing w:val="-4"/>
          <w:sz w:val="32"/>
          <w:szCs w:val="30"/>
          <w:highlight w:val="none"/>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color w:val="auto"/>
          <w:spacing w:val="-4"/>
          <w:sz w:val="32"/>
          <w:szCs w:val="30"/>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资金使用情况：根据项目实施情况，项目资金实际支付43.44万元，资金执行率达到</w:t>
      </w:r>
      <w:r>
        <w:rPr>
          <w:rStyle w:val="Strong"/>
          <w:rFonts w:ascii="仿宋_GB2312" w:hAnsi="仿宋_GB2312" w:cs="仿宋_GB2312" w:hint="eastAsia"/>
          <w:b w:val="0"/>
          <w:color w:val="auto"/>
          <w:spacing w:val="-4"/>
          <w:sz w:val="32"/>
          <w:szCs w:val="30"/>
          <w:highlight w:val="none"/>
          <w:lang w:val="en-US" w:eastAsia="zh-CN"/>
        </w:rPr>
        <w:t xml:space="preserve">2.1</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eastAsia="仿宋_GB2312" w:hint="eastAsia"/>
          <w:b w:val="0"/>
          <w:color w:val="auto"/>
          <w:spacing w:val="-4"/>
          <w:sz w:val="32"/>
          <w:highlight w:val="none"/>
          <w:lang w:val="en-US" w:eastAsia="zh-CN"/>
        </w:rPr>
      </w:pPr>
      <w:r>
        <w:rPr>
          <w:rStyle w:val="Strong"/>
          <w:rFonts w:ascii="仿宋_GB2312" w:hint="eastAsia"/>
          <w:b w:val="0"/>
          <w:color w:val="auto"/>
          <w:spacing w:val="-4"/>
          <w:sz w:val="32"/>
          <w:highlight w:val="none"/>
        </w:rPr>
        <w:t xml:space="preserve">保障性住房维修、维护成本</w:t>
      </w:r>
      <w:r>
        <w:rPr>
          <w:rStyle w:val="Strong"/>
          <w:rFonts w:ascii="仿宋_GB2312" w:hAnsi="仿宋_GB2312" w:cs="仿宋_GB2312" w:hint="eastAsia"/>
          <w:b w:val="0"/>
          <w:color w:val="auto"/>
          <w:spacing w:val="-4"/>
          <w:sz w:val="32"/>
          <w:szCs w:val="30"/>
          <w:highlight w:val="none"/>
        </w:rPr>
        <w:t xml:space="preserve">43.44</w:t>
      </w:r>
      <w:r>
        <w:rPr>
          <w:rStyle w:val="Strong"/>
          <w:rFonts w:ascii="仿宋_GB2312" w:hAnsi="仿宋_GB2312" w:cs="仿宋_GB2312" w:hint="eastAsia"/>
          <w:b w:val="0"/>
          <w:color w:val="auto"/>
          <w:spacing w:val="-4"/>
          <w:sz w:val="32"/>
          <w:szCs w:val="30"/>
          <w:highlight w:val="none"/>
          <w:lang w:val="en-US" w:eastAsia="zh-CN"/>
        </w:rPr>
        <w:t xml:space="preserve">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 w:cs="宋体" w:hint="eastAsia"/>
          <w:color w:val="auto"/>
          <w:sz w:val="32"/>
          <w:szCs w:val="32"/>
          <w:highlight w:val="none"/>
        </w:rPr>
      </w:pPr>
      <w:r>
        <w:rPr>
          <w:rFonts w:ascii="仿宋_GB2312" w:hAnsi="仿宋_GB2312" w:cs="仿宋_GB2312" w:hint="eastAsia"/>
          <w:color w:val="auto"/>
          <w:sz w:val="32"/>
          <w:highlight w:val="none"/>
        </w:rPr>
        <w:t xml:space="preserve">年度总体目标为：根据《新疆维吾尔自治区公租房管理办法》，安排项目资金2106万元，为进一步提高我市公租房运行及管理水平，开展保障性住房维修，维护管理和运营1756.96万元，涉及小区9个，采购电子锁5000个,共计350万元；通过项目的实施，确保公租房正常运转，提高安全性。</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（一）绩效评价目的、对象和范围</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 1．绩效评价目的</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本次绩效评价遵循财政部《项目支出绩效评价管理办法》（财预〔</w:t>
      </w:r>
      <w:r>
        <w:rPr>
          <w:rFonts w:ascii="仿宋_GB2312" w:eastAsia="仿宋_GB2312" w:hAnsi="仿宋_GB2312" w:cs="仿宋_GB2312" w:hint="eastAsia"/>
          <w:color w:val="auto"/>
          <w:sz w:val="32"/>
          <w:szCs w:val="32"/>
          <w:highlight w:val="none"/>
          <w:lang w:eastAsia="zh-CN"/>
        </w:rPr>
        <w:t xml:space="preserve">202</w:t>
      </w:r>
      <w:r>
        <w:rPr>
          <w:rFonts w:ascii="仿宋_GB2312" w:eastAsia="仿宋_GB2312" w:hAnsi="仿宋_GB2312" w:cs="仿宋_GB2312" w:hint="eastAsia"/>
          <w:color w:val="auto"/>
          <w:sz w:val="32"/>
          <w:szCs w:val="32"/>
          <w:highlight w:val="none"/>
          <w:lang w:val="en-US" w:eastAsia="zh-CN"/>
        </w:rPr>
        <w:t xml:space="preserve">0</w:t>
      </w:r>
      <w:r>
        <w:rPr>
          <w:rFonts w:ascii="仿宋_GB2312" w:eastAsia="仿宋_GB2312" w:hAnsi="仿宋_GB2312" w:cs="仿宋_GB2312" w:hint="eastAsia"/>
          <w:color w:val="auto"/>
          <w:sz w:val="32"/>
          <w:szCs w:val="32"/>
          <w:highlight w:val="none"/>
        </w:rPr>
        <w:t xml:space="preserve">〕10号）和自治区财政厅</w:t>
      </w:r>
      <w:r>
        <w:rPr>
          <w:rFonts w:ascii="仿宋_GB2312" w:eastAsia="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eastAsia="仿宋_GB2312" w:hAnsi="仿宋_GB2312" w:cs="仿宋_GB2312" w:hint="eastAsia"/>
          <w:color w:val="auto"/>
          <w:sz w:val="32"/>
          <w:szCs w:val="32"/>
          <w:highlight w:val="none"/>
        </w:rPr>
        <w:t xml:space="preserve">等相关政策文件与规定，</w:t>
      </w:r>
      <w:r>
        <w:rPr>
          <w:rFonts w:ascii="仿宋_GB2312" w:eastAsia="仿宋_GB2312" w:hAnsi="仿宋_GB2312" w:cs="仿宋_GB2312" w:hint="eastAsia"/>
          <w:color w:val="auto"/>
          <w:sz w:val="32"/>
          <w:szCs w:val="32"/>
          <w:highlight w:val="none"/>
          <w:lang w:val="en-US" w:eastAsia="zh-CN"/>
        </w:rPr>
        <w:t xml:space="preserve">绩效评价</w:t>
      </w:r>
      <w:r>
        <w:rPr>
          <w:rFonts w:ascii="仿宋_GB2312" w:eastAsia="仿宋_GB2312" w:hAnsi="仿宋_GB2312" w:cs="仿宋_GB2312" w:hint="eastAsia"/>
          <w:color w:val="auto"/>
          <w:sz w:val="32"/>
          <w:szCs w:val="32"/>
          <w:highlight w:val="none"/>
        </w:rPr>
        <w:t xml:space="preserve">旨在评价</w:t>
      </w:r>
      <w:r>
        <w:rPr>
          <w:rFonts w:ascii="仿宋_GB2312" w:eastAsia="仿宋_GB2312" w:hAnsi="仿宋_GB2312" w:cs="仿宋_GB2312" w:hint="eastAsia"/>
          <w:color w:val="auto"/>
          <w:sz w:val="32"/>
          <w:szCs w:val="32"/>
          <w:highlight w:val="none"/>
          <w:lang w:eastAsia="zh-CN"/>
        </w:rPr>
        <w:t xml:space="preserve">本</w:t>
      </w:r>
      <w:r>
        <w:rPr>
          <w:rFonts w:ascii="仿宋_GB2312" w:eastAsia="仿宋_GB2312" w:hAnsi="仿宋_GB2312" w:cs="仿宋_GB2312" w:hint="eastAsia"/>
          <w:color w:val="auto"/>
          <w:sz w:val="32"/>
          <w:szCs w:val="32"/>
          <w:highlight w:val="none"/>
        </w:rPr>
        <w:t xml:space="preserve">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一是：通过部门项目支出绩效评价，进一步严格落实《中华人民共和国预算法》以及党中央、国务院关于加强预算绩效管理的指示精神，建立健全“花钱必问效、无效必问责”的绩效预算管理机制</w:t>
      </w:r>
      <w:r>
        <w:rPr>
          <w:rFonts w:ascii="仿宋_GB2312" w:eastAsia="仿宋_GB2312" w:hAnsi="仿宋_GB2312" w:cs="仿宋_GB2312" w:hint="eastAsia"/>
          <w:color w:val="auto"/>
          <w:sz w:val="32"/>
          <w:szCs w:val="32"/>
          <w:highlight w:val="none"/>
          <w:lang w:eastAsia="zh-CN"/>
        </w:rPr>
        <w:t xml:space="preserve">，</w:t>
      </w:r>
      <w:r>
        <w:rPr>
          <w:rFonts w:ascii="仿宋_GB2312" w:eastAsia="仿宋_GB2312" w:hAnsi="仿宋_GB2312" w:cs="仿宋_GB2312" w:hint="eastAsia"/>
          <w:color w:val="auto"/>
          <w:sz w:val="32"/>
          <w:szCs w:val="32"/>
          <w:highlight w:val="none"/>
        </w:rPr>
        <w:t xml:space="preserve">提升财政资金的使用效能。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w:t>
      </w:r>
      <w:r>
        <w:rPr>
          <w:rFonts w:ascii="仿宋_GB2312" w:hAnsi="仿宋_GB2312" w:cs="仿宋_GB2312" w:hint="eastAsia"/>
          <w:color w:val="auto"/>
          <w:sz w:val="32"/>
          <w:szCs w:val="32"/>
          <w:highlight w:val="none"/>
          <w:lang w:eastAsia="zh-CN"/>
        </w:rPr>
        <w:t xml:space="preserve">202</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年阿图什市公租房维修、维护、管理及智能锁采购项目从预算编制合理性、资金使用合规性、项目管理的规范性、实施情况、总体绩效目标、各项绩效指标完成情况以及预算执行情况进行科学性评价。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val="0"/>
          <w:color w:val="auto"/>
          <w:sz w:val="32"/>
          <w:highlight w:val="none"/>
        </w:rPr>
      </w:pPr>
      <w:r>
        <w:rPr>
          <w:rFonts w:ascii="楷体" w:eastAsia="楷体" w:hAnsi="楷体" w:cs="仿宋_GB2312" w:hint="eastAsia"/>
          <w:b/>
          <w:bCs w:val="0"/>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highlight w:val="none"/>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 </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w:t>
      </w:r>
      <w:r>
        <w:rPr>
          <w:rFonts w:ascii="仿宋_GB2312" w:hAnsi="仿宋_GB2312" w:cs="仿宋_GB2312" w:hint="eastAsia"/>
          <w:color w:val="auto"/>
          <w:sz w:val="32"/>
          <w:highlight w:val="none"/>
          <w:lang w:eastAsia="zh-CN"/>
        </w:rPr>
        <w:t xml:space="preserve">应用、</w:t>
      </w:r>
      <w:r>
        <w:rPr>
          <w:rFonts w:ascii="仿宋_GB2312" w:hAnsi="仿宋_GB2312" w:cs="仿宋_GB2312" w:hint="eastAsia"/>
          <w:color w:val="auto"/>
          <w:sz w:val="32"/>
          <w:highlight w:val="none"/>
        </w:rPr>
        <w:t xml:space="preserve">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lang w:val="en-US" w:eastAsia="zh-CN"/>
        </w:rPr>
      </w:pPr>
      <w:r>
        <w:rPr>
          <w:rFonts w:ascii="仿宋_GB2312" w:hAnsi="仿宋_GB2312" w:cs="仿宋_GB2312" w:hint="eastAsia"/>
          <w:b/>
          <w:bCs/>
          <w:color w:val="auto"/>
          <w:sz w:val="32"/>
          <w:highlight w:val="none"/>
          <w:lang w:eastAsia="zh-CN"/>
        </w:rPr>
        <w:t xml:space="preserve">2</w:t>
      </w:r>
      <w:r>
        <w:rPr>
          <w:rFonts w:ascii="仿宋_GB2312" w:hAnsi="仿宋_GB2312" w:cs="仿宋_GB2312" w:hint="eastAsia"/>
          <w:b/>
          <w:bCs/>
          <w:color w:val="auto"/>
          <w:sz w:val="32"/>
          <w:highlight w:val="none"/>
        </w:rPr>
        <w:t xml:space="preserve">．</w:t>
      </w:r>
      <w:r>
        <w:rPr>
          <w:rFonts w:ascii="仿宋_GB2312" w:hAnsi="仿宋_GB2312" w:cs="仿宋_GB2312" w:hint="eastAsia"/>
          <w:b/>
          <w:bCs/>
          <w:color w:val="auto"/>
          <w:sz w:val="32"/>
          <w:highlight w:val="none"/>
          <w:lang w:val="en-US" w:eastAsia="zh-CN"/>
        </w:rPr>
        <w:t xml:space="preserve">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eastAsia="zh-CN"/>
        </w:rPr>
      </w:pPr>
      <w:r>
        <w:rPr>
          <w:rFonts w:ascii="仿宋_GB2312" w:hAnsi="仿宋_GB2312" w:cs="仿宋_GB2312" w:hint="eastAsia"/>
          <w:color w:val="auto"/>
          <w:sz w:val="32"/>
          <w:highlight w:val="none"/>
          <w:lang w:val="en-US" w:eastAsia="zh-CN"/>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在对2024年阿图什市公租房维修、维护、管理及智能锁采购项目的深入调研基础上，按照《项目支出绩效评价管理办法》（财预〔2021〕10号）对于指标体系的要求和规范，建立一套适合评价阿图什市公租房维修、维护、管理及智能锁采购项目的指标体系，从项目决策、项目过程、项目产出和项目绩效四个维度全面考察阿图什市公租房维修、维护、管理及智能锁采购项目资金的效益，并重点对于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eastAsia="仿宋_GB2312" w:hAnsi="仿宋" w:hint="eastAsia"/>
          <w:color w:val="auto"/>
          <w:sz w:val="32"/>
          <w:szCs w:val="32"/>
          <w:highlight w:val="none"/>
        </w:rPr>
      </w:pPr>
      <w:r>
        <w:rPr>
          <w:rFonts w:ascii="仿宋_GB2312" w:hAnsi="仿宋_GB2312" w:cs="仿宋_GB2312" w:hint="eastAsia"/>
          <w:b/>
          <w:bCs/>
          <w:color w:val="auto"/>
          <w:sz w:val="32"/>
          <w:highlight w:val="none"/>
          <w:lang w:val="en-US" w:eastAsia="zh-CN"/>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②定性指标分析环节：主要采用公众评判法，通过问卷及抽样调查等方式评价本项目实施后社会公众对于其实施效果的满意程度，将调研结果按照《项目支出绩效评价管理办法》（财预〔2020〕10号）、《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预算编制科学性</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成本效益分析法</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资金使用合规性：文献法、实地勘察法，一是查找资金管理办法，包括专项资金管理办法和单位自有资金管理办法；二是通过查账了解具体开支情况，是否专用专用，是否按照标准支出。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left="0" w:firstLine="640" w:leftChars="0" w:firstLineChars="200"/>
        <w:contextualSpacing/>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绩效评价标准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阿图什市公租房维修、维护、管理及智能锁采购项目属于延续项目，</w:t>
      </w:r>
      <w:r>
        <w:rPr>
          <w:rFonts w:ascii="仿宋_GB2312" w:eastAsia="仿宋_GB2312" w:hAnsi="仿宋_GB2312" w:cs="仿宋_GB2312" w:hint="eastAsia"/>
          <w:b w:val="0"/>
          <w:bCs/>
          <w:color w:val="auto"/>
          <w:sz w:val="32"/>
          <w:szCs w:val="24"/>
          <w:highlight w:val="none"/>
          <w:lang w:val="en-US" w:eastAsia="zh-CN" w:bidi="ar-SA"/>
        </w:rPr>
        <w:t xml:space="preserve">有</w:t>
      </w:r>
      <w:r>
        <w:rPr>
          <w:rFonts w:ascii="仿宋_GB2312" w:eastAsia="仿宋_GB2312" w:hAnsi="仿宋_GB2312" w:cs="仿宋_GB2312" w:hint="eastAsia"/>
          <w:color w:val="auto"/>
          <w:sz w:val="32"/>
          <w:szCs w:val="24"/>
          <w:highlight w:val="none"/>
          <w:lang w:val="en-US" w:eastAsia="zh-CN" w:bidi="ar-SA"/>
        </w:rPr>
        <w:t xml:space="preserve">相应的行业标准和历史标准，故采用</w:t>
      </w:r>
      <w:r>
        <w:rPr>
          <w:rFonts w:ascii="仿宋_GB2312" w:eastAsia="仿宋_GB2312" w:hint="eastAsia"/>
          <w:color w:val="auto"/>
          <w:sz w:val="32"/>
          <w:highlight w:val="none"/>
        </w:rPr>
        <w:t xml:space="preserve">计划标准、行业标准、历史标准</w:t>
      </w:r>
      <w:r>
        <w:rPr>
          <w:rFonts w:ascii="仿宋_GB2312" w:eastAsia="仿宋_GB2312" w:hAnsi="仿宋_GB2312" w:cs="仿宋_GB2312" w:hint="eastAsia"/>
          <w:color w:val="auto"/>
          <w:sz w:val="32"/>
          <w:szCs w:val="24"/>
          <w:highlight w:val="none"/>
          <w:lang w:val="en-US" w:eastAsia="zh-CN" w:bidi="ar-SA"/>
        </w:rPr>
        <w:t xml:space="preserve">评价该项目。</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firstLineChars="200"/>
        <w:contextualSpacing/>
        <w:textAlignment w:val="auto"/>
        <w:rPr>
          <w:rFonts w:ascii="楷体" w:eastAsia="楷体" w:hAnsi="楷体" w:cs="仿宋_GB2312" w:hint="eastAsia"/>
          <w:b/>
          <w:bCs/>
          <w:color w:val="auto"/>
          <w:sz w:val="32"/>
          <w:szCs w:val="24"/>
          <w:highlight w:val="none"/>
          <w:lang w:val="en-US" w:eastAsia="zh-CN" w:bidi="ar-SA"/>
        </w:rPr>
      </w:pPr>
      <w:r>
        <w:rPr>
          <w:rFonts w:ascii="楷体" w:eastAsia="楷体" w:hAnsi="楷体" w:cs="仿宋_GB2312" w:hint="eastAsia"/>
          <w:b/>
          <w:bCs/>
          <w:color w:val="auto"/>
          <w:sz w:val="32"/>
          <w:szCs w:val="24"/>
          <w:highlight w:val="none"/>
          <w:lang w:val="en-US" w:eastAsia="zh-CN" w:bidi="ar-SA"/>
        </w:rPr>
        <w:t xml:space="preserve">（三）绩效评价工作过程。</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left="600" w:leftChars="200"/>
        <w:contextualSpacing/>
        <w:textAlignment w:val="auto"/>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1．前期准备</w:t>
      </w:r>
    </w:p>
    <w:p>
      <w:pPr>
        <w:pStyle w:val="标题2"/>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jc w:val="center"/>
        <w:textAlignment w:val="auto"/>
        <w:outlineLvl w:val="9"/>
        <w:rPr>
          <w:b/>
          <w:bCs/>
          <w:color w:val="auto"/>
          <w:highlight w:val="none"/>
        </w:rPr>
      </w:pPr>
      <w:r>
        <w:rPr>
          <w:rFonts w:hint="eastAsia"/>
          <w:b/>
          <w:bCs/>
          <w:color w:val="auto"/>
          <w:highlight w:val="none"/>
        </w:rPr>
        <w:t xml:space="preserve">本次评价成立了评价工作组，成员如下：</w:t>
      </w:r>
    </w:p>
    <w:tbl>
      <w:tblPr>
        <w:tblStyle w:val="NormalTable"/>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2970"/>
        <w:gridCol w:w="2042"/>
        <w:gridCol w:w="3790"/>
      </w:tblGrid>
      <w:tr>
        <w:tblPrEx>
          <w:tblW w:w="8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97"/>
          <w:jc w:val="center"/>
        </w:trPr>
        <w:tc>
          <w:tcPr>
            <w:tcW w:w="2970"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2042"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务</w:t>
            </w:r>
          </w:p>
        </w:tc>
        <w:tc>
          <w:tcPr>
            <w:tcW w:w="3790"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责</w:t>
            </w:r>
          </w:p>
        </w:tc>
      </w:tr>
      <w:tr>
        <w:tblPrEx>
          <w:tblW w:w="8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970"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曹华</w:t>
            </w:r>
          </w:p>
        </w:tc>
        <w:tc>
          <w:tcPr>
            <w:tcW w:w="2042"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790"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组织安排绩效评价工作</w:t>
            </w:r>
          </w:p>
        </w:tc>
      </w:tr>
      <w:tr>
        <w:tblPrEx>
          <w:tblW w:w="8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970"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val="en-US" w:eastAsia="zh-CN"/>
              </w:rPr>
            </w:pPr>
            <w:r>
              <w:rPr>
                <w:rFonts w:hint="eastAsia"/>
                <w:b w:val="0"/>
                <w:bCs w:val="0"/>
                <w:color w:val="auto"/>
                <w:highlight w:val="none"/>
              </w:rPr>
              <w:t xml:space="preserve">肉孜买买提·卡孜</w:t>
            </w:r>
          </w:p>
        </w:tc>
        <w:tc>
          <w:tcPr>
            <w:tcW w:w="2042"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790"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资料整理及信息汇总工作</w:t>
            </w:r>
          </w:p>
        </w:tc>
      </w:tr>
      <w:tr>
        <w:tblPrEx>
          <w:tblW w:w="8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970"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ascii="Times New Roman" w:eastAsia="仿宋" w:hAnsi="Times New Roman" w:cs="Times New Roman" w:hint="default"/>
                <w:b w:val="0"/>
                <w:bCs w:val="0"/>
                <w:color w:val="auto"/>
                <w:kern w:val="2"/>
                <w:sz w:val="32"/>
                <w:szCs w:val="32"/>
                <w:highlight w:val="none"/>
                <w:lang w:val="en-US" w:eastAsia="zh-CN" w:bidi="ar-SA"/>
              </w:rPr>
              <w:t xml:space="preserve">木沙·吐尔地胡加</w:t>
            </w:r>
          </w:p>
        </w:tc>
        <w:tc>
          <w:tcPr>
            <w:tcW w:w="2042"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790"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阿图什市公租房维修、维护、管理及智能锁采购项目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2025年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组织管理、产出与效益效果。在此基础上，以相关的项目数据为基础，综合运用不同的评价方法，结合评价标准和评分规则，阿图什市公租房维修、维护、管理及智能锁采购项目综合得分为81.98分，</w:t>
      </w:r>
      <w:r>
        <w:rPr>
          <w:rFonts w:ascii="仿宋_GB2312" w:eastAsia="仿宋_GB2312" w:hAnsi="Cambria" w:hint="eastAsia"/>
          <w:color w:val="auto"/>
          <w:sz w:val="32"/>
          <w:szCs w:val="32"/>
          <w:highlight w:val="none"/>
        </w:rPr>
        <w:t xml:space="preserve">评价结果为良。</w:t>
      </w:r>
    </w:p>
    <w:p>
      <w:pPr>
        <w:pStyle w:val="Bodytext|1"/>
        <w:spacing w:line="560" w:lineRule="exact"/>
        <w:ind w:firstLine="582" w:firstLineChars="182"/>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zh-CN" w:eastAsia="zh-CN" w:bidi="ar-SA"/>
        </w:rPr>
        <w:t xml:space="preserve">202</w:t>
      </w:r>
      <w:r>
        <w:rPr>
          <w:rFonts w:ascii="仿宋_GB2312" w:eastAsia="仿宋_GB2312" w:hAnsi="仿宋_GB2312" w:cs="仿宋_GB2312" w:hint="eastAsia"/>
          <w:b/>
          <w:color w:val="auto"/>
          <w:sz w:val="32"/>
          <w:szCs w:val="32"/>
          <w:highlight w:val="none"/>
          <w:lang w:val="en-US" w:eastAsia="zh-CN" w:bidi="ar-SA"/>
        </w:rPr>
        <w:t xml:space="preserve">4年阿图什市公租房维修、维护、管理及智能锁采购项目评价得分情况</w:t>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749"/>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824"/>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shd w:val="clear" w:color="auto" w:fill="FFFFFF"/>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35"/>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12.11</w:t>
            </w:r>
          </w:p>
        </w:tc>
        <w:tc>
          <w:tcPr>
            <w:tcW w:w="3866" w:type="dxa"/>
            <w:tcBorders>
              <w:top w:val="single" w:sz="4" w:space="0" w:color="auto"/>
              <w:left w:val="single" w:sz="4" w:space="0" w:color="auto"/>
              <w:right w:val="single" w:sz="4" w:space="0" w:color="auto"/>
            </w:tcBorders>
            <w:shd w:val="clear" w:color="auto" w:fill="FFFFFF"/>
            <w:noWrap w:val="0"/>
            <w:vAlign w:val="bottom"/>
          </w:tcPr>
          <w:p>
            <w:pPr>
              <w:pStyle w:val="Other|1"/>
              <w:spacing w:line="560" w:lineRule="exact"/>
              <w:ind w:firstLine="0"/>
              <w:jc w:val="left"/>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预算执行率2.10%</w:t>
            </w:r>
          </w:p>
        </w:tc>
      </w:tr>
      <w:tr>
        <w:tblPrEx>
          <w:tblW w:w="9309" w:type="dxa"/>
          <w:tblLayout w:type="fixed"/>
          <w:tblCellMar>
            <w:top w:w="0" w:type="dxa"/>
            <w:left w:w="10" w:type="dxa"/>
            <w:bottom w:w="0" w:type="dxa"/>
            <w:right w:w="10" w:type="dxa"/>
          </w:tblCellMar>
        </w:tblPrEx>
        <w:trPr>
          <w:trHeight w:hRule="exact" w:val="857"/>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16.87</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3条指标未完成</w:t>
            </w:r>
          </w:p>
        </w:tc>
      </w:tr>
      <w:tr>
        <w:tblPrEx>
          <w:tblW w:w="9309" w:type="dxa"/>
          <w:tblLayout w:type="fixed"/>
          <w:tblCellMar>
            <w:top w:w="0" w:type="dxa"/>
            <w:left w:w="10" w:type="dxa"/>
            <w:bottom w:w="0" w:type="dxa"/>
            <w:right w:w="10" w:type="dxa"/>
          </w:tblCellMar>
        </w:tblPrEx>
        <w:trPr>
          <w:trHeight w:hRule="exact" w:val="75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81.98</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年阿图什市公租房维修、维护、管理及智能锁采购项目资金达到了年初设立的绩效目标，在实施过程中取得了良好的成效，具体表现在以下几点：</w:t>
      </w:r>
    </w:p>
    <w:p>
      <w:pPr>
        <w:snapToGrid w:val="0"/>
        <w:spacing w:line="560" w:lineRule="exact"/>
        <w:ind w:firstLine="640" w:firstLineChars="200"/>
        <w:jc w:val="left"/>
        <w:rPr>
          <w:rFonts w:hint="eastAsia"/>
          <w:color w:val="auto"/>
          <w:highlight w:val="none"/>
        </w:rPr>
      </w:pPr>
      <w:r>
        <w:rPr>
          <w:rFonts w:ascii="仿宋_GB2312" w:hAnsi="仿宋_GB2312" w:cs="仿宋_GB2312" w:hint="eastAsia"/>
          <w:color w:val="auto"/>
          <w:sz w:val="32"/>
          <w:szCs w:val="32"/>
          <w:highlight w:val="none"/>
          <w:lang w:val="en-US" w:eastAsia="zh-CN"/>
        </w:rPr>
        <w:t xml:space="preserve">本项目根据</w:t>
      </w:r>
      <w:r>
        <w:rPr>
          <w:rFonts w:ascii="仿宋_GB2312" w:hAnsi="仿宋_GB2312" w:cs="仿宋_GB2312" w:hint="eastAsia"/>
          <w:color w:val="auto"/>
          <w:sz w:val="32"/>
          <w:szCs w:val="32"/>
          <w:highlight w:val="none"/>
        </w:rPr>
        <w:t xml:space="preserve">《自治区关于加快发展保障性租赁住房的实施意见》、《新疆维吾尔自治区公租房管理办法》等相关政策要求，</w:t>
      </w:r>
      <w:r>
        <w:rPr>
          <w:rFonts w:ascii="仿宋_GB2312" w:hAnsi="仿宋_GB2312" w:cs="仿宋_GB2312" w:hint="eastAsia"/>
          <w:color w:val="auto"/>
          <w:sz w:val="32"/>
          <w:szCs w:val="32"/>
          <w:highlight w:val="none"/>
          <w:lang w:val="en-US" w:eastAsia="zh-CN"/>
        </w:rPr>
        <w:t xml:space="preserve">本年度</w:t>
      </w:r>
      <w:r>
        <w:rPr>
          <w:rFonts w:ascii="仿宋_GB2312" w:hAnsi="仿宋_GB2312" w:cs="仿宋_GB2312" w:hint="eastAsia"/>
          <w:color w:val="auto"/>
          <w:sz w:val="32"/>
          <w:szCs w:val="32"/>
          <w:highlight w:val="none"/>
        </w:rPr>
        <w:t xml:space="preserve">实际完成保障性住房维修、维护小区数量9个，智能锁采购数量733个，通过实施本项目确保公租房正常运转，提高住房安全性。</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w:t>
      </w:r>
      <w:r>
        <w:rPr>
          <w:rFonts w:ascii="仿宋_GB2312" w:eastAsia="仿宋_GB2312" w:hAnsi="仿宋" w:cs="宋体" w:hint="eastAsia"/>
          <w:color w:val="auto"/>
          <w:kern w:val="0"/>
          <w:sz w:val="32"/>
          <w:szCs w:val="32"/>
          <w:highlight w:val="none"/>
          <w:lang w:val="en-US" w:eastAsia="zh-CN" w:bidi="ar-SA"/>
        </w:rPr>
        <w:t xml:space="preserve">阿图什市公租房维修、维护、管理及智能锁采购项目</w:t>
      </w:r>
      <w:r>
        <w:rPr>
          <w:rFonts w:ascii="仿宋_GB2312" w:hAnsi="仿宋_GB2312" w:cs="仿宋_GB2312" w:hint="eastAsia"/>
          <w:color w:val="auto"/>
          <w:sz w:val="32"/>
          <w:szCs w:val="32"/>
          <w:highlight w:val="none"/>
        </w:rPr>
        <w:t xml:space="preserve">支出共计</w:t>
      </w:r>
      <w:r>
        <w:rPr>
          <w:rFonts w:ascii="仿宋_GB2312" w:hAnsi="仿宋_GB2312" w:cs="仿宋_GB2312" w:hint="eastAsia"/>
          <w:color w:val="auto"/>
          <w:sz w:val="32"/>
          <w:szCs w:val="32"/>
          <w:highlight w:val="none"/>
          <w:lang w:val="en-US" w:eastAsia="zh-CN"/>
        </w:rPr>
        <w:t xml:space="preserve">43.44</w:t>
      </w:r>
      <w:r>
        <w:rPr>
          <w:rFonts w:ascii="仿宋_GB2312" w:hAnsi="仿宋_GB2312" w:cs="仿宋_GB2312" w:hint="eastAsia"/>
          <w:color w:val="auto"/>
          <w:sz w:val="32"/>
          <w:szCs w:val="32"/>
          <w:highlight w:val="none"/>
        </w:rPr>
        <w:t xml:space="preserve">万元，评价得分值</w:t>
      </w:r>
      <w:r>
        <w:rPr>
          <w:rFonts w:ascii="仿宋_GB2312" w:hAnsi="仿宋_GB2312" w:cs="仿宋_GB2312" w:hint="eastAsia"/>
          <w:color w:val="auto"/>
          <w:sz w:val="32"/>
          <w:szCs w:val="32"/>
          <w:highlight w:val="none"/>
          <w:lang w:val="en-US" w:eastAsia="zh-CN"/>
        </w:rPr>
        <w:t xml:space="preserve">81.98</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w:t>
      </w:r>
      <w:r>
        <w:rPr>
          <w:rFonts w:ascii="仿宋_GB2312" w:hAnsi="仿宋" w:cs="宋体" w:hint="eastAsia"/>
          <w:color w:val="auto"/>
          <w:sz w:val="32"/>
          <w:szCs w:val="32"/>
          <w:highlight w:val="none"/>
          <w:lang w:val="en-US" w:eastAsia="zh-CN"/>
        </w:rPr>
        <w:t xml:space="preserve">严格</w:t>
      </w:r>
      <w:r>
        <w:rPr>
          <w:rFonts w:ascii="仿宋_GB2312" w:hAnsi="仿宋" w:cs="宋体" w:hint="eastAsia"/>
          <w:color w:val="auto"/>
          <w:sz w:val="32"/>
          <w:szCs w:val="32"/>
          <w:highlight w:val="none"/>
        </w:rPr>
        <w:t xml:space="preserve">按照规定的程序申请设立；审批文件、材料符合相关要求；项目前期已经过必要的可行性研究、专家论证、风险评估、绩效评估、集体决策。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w:t>
      </w:r>
      <w:r>
        <w:rPr>
          <w:rFonts w:ascii="仿宋_GB2312" w:hAnsi="仿宋" w:cs="宋体" w:hint="eastAsia"/>
          <w:color w:val="auto"/>
          <w:sz w:val="32"/>
          <w:szCs w:val="32"/>
          <w:highlight w:val="none"/>
          <w:lang w:val="en-US" w:eastAsia="zh-CN"/>
        </w:rPr>
        <w:t xml:space="preserve">绩效目标</w:t>
      </w:r>
      <w:r>
        <w:rPr>
          <w:rFonts w:ascii="仿宋_GB2312" w:hAnsi="仿宋" w:cs="宋体" w:hint="eastAsia"/>
          <w:color w:val="auto"/>
          <w:sz w:val="32"/>
          <w:szCs w:val="32"/>
          <w:highlight w:val="none"/>
        </w:rPr>
        <w:t xml:space="preserve">与实际工作内容相关；项目预期产出效益和效果符合正常的业绩水平；</w:t>
      </w:r>
      <w:r>
        <w:rPr>
          <w:rFonts w:ascii="仿宋_GB2312" w:hAnsi="仿宋" w:cs="宋体" w:hint="eastAsia"/>
          <w:color w:val="auto"/>
          <w:sz w:val="32"/>
          <w:szCs w:val="32"/>
          <w:highlight w:val="none"/>
          <w:lang w:val="en-US" w:eastAsia="zh-CN"/>
        </w:rPr>
        <w:t xml:space="preserve">目标设置</w:t>
      </w:r>
      <w:r>
        <w:rPr>
          <w:rFonts w:ascii="仿宋_GB2312" w:hAnsi="仿宋" w:cs="宋体" w:hint="eastAsia"/>
          <w:color w:val="auto"/>
          <w:sz w:val="32"/>
          <w:szCs w:val="32"/>
          <w:highlight w:val="none"/>
        </w:rPr>
        <w:t xml:space="preserve">与预算确定的项目投资额或资金量相匹配。</w:t>
      </w:r>
      <w:r>
        <w:rPr>
          <w:rFonts w:ascii="仿宋_GB2312" w:hAnsi="仿宋" w:cs="宋体" w:hint="eastAsia"/>
          <w:color w:val="auto"/>
          <w:sz w:val="32"/>
          <w:szCs w:val="32"/>
          <w:highlight w:val="none"/>
          <w:lang w:val="en-US" w:eastAsia="zh-CN"/>
        </w:rPr>
        <w:t xml:space="preserve">严格按照要求</w:t>
      </w:r>
      <w:r>
        <w:rPr>
          <w:rFonts w:ascii="仿宋_GB2312" w:hAnsi="仿宋" w:cs="宋体" w:hint="eastAsia"/>
          <w:color w:val="auto"/>
          <w:sz w:val="32"/>
          <w:szCs w:val="32"/>
          <w:highlight w:val="none"/>
        </w:rPr>
        <w:t xml:space="preserve">将项目绩效目标细化分解为具体的绩效指标</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eastAsia="zh-CN"/>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r>
        <w:rPr>
          <w:rFonts w:ascii="仿宋_GB2312" w:hAnsi="仿宋" w:cs="宋体" w:hint="eastAsia"/>
          <w:color w:val="auto"/>
          <w:sz w:val="32"/>
          <w:szCs w:val="32"/>
          <w:highlight w:val="none"/>
          <w:lang w:eastAsia="zh-CN"/>
        </w:rPr>
        <w:t xml:space="preserve">。</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及时支付，资金使用符合国家法规和财务管理制度；资金拨付有完整的审批程序和手续，符合项目预算批复或合同规定的用途；</w:t>
      </w:r>
      <w:r>
        <w:rPr>
          <w:rFonts w:ascii="仿宋_GB2312" w:hAnsi="仿宋" w:cs="宋体" w:hint="eastAsia"/>
          <w:color w:val="auto"/>
          <w:sz w:val="32"/>
          <w:szCs w:val="32"/>
          <w:highlight w:val="none"/>
          <w:lang w:val="en-US" w:eastAsia="zh-CN"/>
        </w:rPr>
        <w:t xml:space="preserve">不</w:t>
      </w:r>
      <w:r>
        <w:rPr>
          <w:rFonts w:ascii="仿宋_GB2312" w:hAnsi="仿宋" w:cs="宋体" w:hint="eastAsia"/>
          <w:color w:val="auto"/>
          <w:sz w:val="32"/>
          <w:szCs w:val="32"/>
          <w:highlight w:val="none"/>
        </w:rPr>
        <w:t xml:space="preserve">存在截留、挤占、挪用、虚列支出等情况。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w:t>
      </w:r>
      <w:r>
        <w:rPr>
          <w:rFonts w:ascii="仿宋_GB2312" w:hAnsi="仿宋_GB2312" w:cs="仿宋_GB2312" w:hint="eastAsia"/>
          <w:color w:val="auto"/>
          <w:sz w:val="32"/>
          <w:szCs w:val="32"/>
          <w:highlight w:val="none"/>
          <w:lang w:eastAsia="zh-CN"/>
        </w:rPr>
        <w:t xml:space="preserve">202</w:t>
      </w:r>
      <w:r>
        <w:rPr>
          <w:rFonts w:ascii="仿宋_GB2312" w:hAnsi="仿宋_GB2312" w:cs="仿宋_GB2312" w:hint="eastAsia"/>
          <w:color w:val="auto"/>
          <w:sz w:val="32"/>
          <w:szCs w:val="32"/>
          <w:highlight w:val="none"/>
          <w:lang w:val="en-US" w:eastAsia="zh-CN"/>
        </w:rPr>
        <w:t xml:space="preserve">5年</w:t>
      </w:r>
      <w:r>
        <w:rPr>
          <w:rFonts w:ascii="仿宋_GB2312" w:hAnsi="仿宋_GB2312" w:cs="仿宋_GB2312" w:hint="eastAsia"/>
          <w:color w:val="auto"/>
          <w:sz w:val="32"/>
          <w:szCs w:val="32"/>
          <w:highlight w:val="none"/>
        </w:rPr>
        <w:t xml:space="preserve">阿图什市公租房维修、维护、管理及智能锁采购项目预算依据</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继而进行该项目支出预算的编制、执行和上报等工作。在项目预算的编制工程中，坚持履行政府职能方面的轻重缓急程度进行先后排序，坚持对阿图什市公租房维修、维护、管理及智能锁采购项目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w:t>
      </w:r>
      <w:r>
        <w:rPr>
          <w:rFonts w:ascii="仿宋_GB2312" w:hAnsi="仿宋_GB2312" w:cs="仿宋_GB2312" w:hint="eastAsia"/>
          <w:color w:val="auto"/>
          <w:sz w:val="32"/>
          <w:szCs w:val="32"/>
          <w:highlight w:val="none"/>
          <w:lang w:val="en-US" w:eastAsia="zh-CN"/>
        </w:rPr>
        <w:t xml:space="preserve">阿图什市</w:t>
      </w:r>
      <w:r>
        <w:rPr>
          <w:rFonts w:ascii="仿宋_GB2312" w:hAnsi="仿宋_GB2312" w:cs="仿宋_GB2312" w:hint="eastAsia"/>
          <w:color w:val="auto"/>
          <w:sz w:val="32"/>
          <w:szCs w:val="32"/>
          <w:highlight w:val="none"/>
        </w:rPr>
        <w:t xml:space="preserve">财政局从资金申请、资金使用、会计核算三个环节加强资金管理。在项目资金申请环节，负责科室严格按照国库集中支付流程向市财政局申请财政资金，我局通过召开党组会议确定阿图什市公租房维修、维护、管理及智能锁采购项目组织形式，明确了该项目经费的开支范围为</w:t>
      </w:r>
      <w:r>
        <w:rPr>
          <w:rFonts w:ascii="仿宋_GB2312" w:hAnsi="仿宋_GB2312" w:cs="仿宋_GB2312" w:hint="eastAsia"/>
          <w:color w:val="auto"/>
          <w:sz w:val="32"/>
          <w:szCs w:val="32"/>
          <w:highlight w:val="none"/>
          <w:lang w:val="en-US" w:eastAsia="zh-CN"/>
        </w:rPr>
        <w:t xml:space="preserve">维修、维护及采购支出</w:t>
      </w:r>
      <w:r>
        <w:rPr>
          <w:rFonts w:ascii="仿宋_GB2312" w:hAnsi="仿宋_GB2312" w:cs="仿宋_GB2312" w:hint="eastAsia"/>
          <w:color w:val="auto"/>
          <w:sz w:val="32"/>
          <w:szCs w:val="32"/>
          <w:highlight w:val="none"/>
        </w:rPr>
        <w:t xml:space="preserve">，严格做到专款专用，责任到人。在资金使用环节，严格遵守相关规定，严格按照我局资金财务审批流程办理款项支付。在会计核算环节，对本项目资金实际单独核算，确保</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年初财政批复的</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资金预算指标整体导入，对预算指标按照项目分类，从数量、质量、时效、满意度等方面分别进行管理控制，监控、掌握预算实时信息，通过不定期检查预算执行情况，增强预算指标刚性。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（5）依照预算资金管理制度，按照不定期检查与项目周期检查相结合的方式，对</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的使用情况进行监督检查。重点督查专项资金的使用进度，资金落实情况，对发现的问题，采取措施及时纠正、强化管理，有效杜绝了专项资金在分配使用过程中的违纪违规现象的发生，确保专项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年阿图什市公租房维修、维护、管理及智能锁采购项目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（三）项目产出情况</w:t>
      </w:r>
    </w:p>
    <w:p>
      <w:pPr>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数量指标为保障性住房维修、维护小区数量，预期指标值是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9个，实际完成值是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9个，指标达到预期目标。</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数量指标为智能锁采购数量，预期指标值是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5000个，实际完成值是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733个，指标</w:t>
      </w:r>
      <w:r>
        <w:rPr>
          <w:rFonts w:ascii="仿宋_GB2312" w:hAnsi="仿宋_GB2312" w:cs="仿宋_GB2312" w:hint="eastAsia"/>
          <w:color w:val="auto"/>
          <w:sz w:val="32"/>
          <w:szCs w:val="32"/>
          <w:highlight w:val="none"/>
          <w:lang w:val="en-US" w:eastAsia="zh-CN"/>
        </w:rPr>
        <w:t xml:space="preserve">未</w:t>
      </w:r>
      <w:r>
        <w:rPr>
          <w:rFonts w:ascii="仿宋_GB2312" w:hAnsi="仿宋_GB2312" w:cs="仿宋_GB2312" w:hint="eastAsia"/>
          <w:color w:val="auto"/>
          <w:sz w:val="32"/>
          <w:szCs w:val="32"/>
          <w:highlight w:val="none"/>
        </w:rPr>
        <w:t xml:space="preserve">达到预期目标。原因：根据实际情况进行采购，剩余物品于2025年进行采购；措施：加快项目进度，减少偏差。</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2．</w:t>
      </w:r>
      <w:r>
        <w:rPr>
          <w:rFonts w:ascii="仿宋_GB2312" w:hint="eastAsia"/>
          <w:b/>
          <w:bCs w:val="0"/>
          <w:color w:val="auto"/>
          <w:sz w:val="32"/>
          <w:szCs w:val="32"/>
          <w:highlight w:val="none"/>
        </w:rPr>
        <w:t xml:space="preserve">质量指标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质量指标为工作质量达标率，预期指标值是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0" w:firstLine="640" w:leftChars="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3．</w:t>
      </w:r>
      <w:r>
        <w:rPr>
          <w:rFonts w:ascii="仿宋_GB2312" w:hint="eastAsia"/>
          <w:b/>
          <w:color w:val="auto"/>
          <w:sz w:val="32"/>
          <w:szCs w:val="32"/>
          <w:highlight w:val="none"/>
        </w:rPr>
        <w:t xml:space="preserve">时效指标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600" w:leftChars="200"/>
        <w:jc w:val="both"/>
        <w:textAlignment w:val="auto"/>
        <w:rPr>
          <w:rFonts w:ascii="仿宋_GB2312"/>
          <w:color w:val="auto"/>
          <w:sz w:val="32"/>
          <w:szCs w:val="32"/>
          <w:highlight w:val="none"/>
        </w:rPr>
      </w:pPr>
      <w:r>
        <w:rPr>
          <w:rFonts w:ascii="仿宋_GB2312" w:hint="eastAsia"/>
          <w:color w:val="auto"/>
          <w:sz w:val="32"/>
          <w:szCs w:val="32"/>
          <w:highlight w:val="none"/>
        </w:rPr>
        <w:t xml:space="preserve">时效指标为项目完成时间，预期指标值是2024年12月，实际完成值是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2024年12月，指标达到预期目标。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成本指标为保障性住房维修、维护成本，预期指标值是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1756.96万元，实际完成值是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43.4379万元，指标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达到预期目标。原因：项目部分支出资料及手续不完整，导致指标未能完成；措施：下一年度做好项目管理工作，及时收集、完善支出资料，减少偏差。</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color w:val="auto"/>
          <w:sz w:val="32"/>
          <w:szCs w:val="32"/>
          <w:highlight w:val="none"/>
        </w:rPr>
      </w:pPr>
      <w:r>
        <w:rPr>
          <w:rFonts w:ascii="仿宋_GB2312" w:hint="eastAsia"/>
          <w:color w:val="auto"/>
          <w:sz w:val="32"/>
          <w:szCs w:val="32"/>
          <w:highlight w:val="none"/>
        </w:rPr>
        <w:t xml:space="preserve">成本指标为智能锁采购成本，预期指标值是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350万元，实际完成值是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0万元，指标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达到预期目标。原因：项目部分支出资料及手续不完整，导致指标未能完成；措施：下一年度做好项目管理工作，及时收集、完善支出资料，减少偏差。</w:t>
      </w:r>
    </w:p>
    <w:p>
      <w:pPr>
        <w:pageBreakBefore w:val="0"/>
        <w:widowControl w:val="0"/>
        <w:kinsoku/>
        <w:wordWrap/>
        <w:overflowPunct/>
        <w:topLinePunct w:val="0"/>
        <w:autoSpaceDE/>
        <w:bidi w:val="0"/>
        <w:spacing w:line="560" w:lineRule="exact"/>
        <w:ind w:firstLine="640" w:firstLineChars="200"/>
        <w:jc w:val="both"/>
        <w:textAlignment w:val="auto"/>
        <w:rPr>
          <w:rFonts w:ascii="楷体" w:eastAsia="楷体" w:hAnsi="楷体" w:cs="宋体"/>
          <w:b/>
          <w:bCs w:val="0"/>
          <w:color w:val="auto"/>
          <w:sz w:val="32"/>
          <w:szCs w:val="32"/>
          <w:highlight w:val="none"/>
        </w:rPr>
      </w:pPr>
      <w:r>
        <w:rPr>
          <w:rFonts w:ascii="楷体" w:eastAsia="楷体" w:hAnsi="楷体" w:cs="宋体" w:hint="eastAsia"/>
          <w:b/>
          <w:bCs w:val="0"/>
          <w:color w:val="auto"/>
          <w:sz w:val="32"/>
          <w:szCs w:val="32"/>
          <w:highlight w:val="none"/>
        </w:rPr>
        <w:t xml:space="preserve">（四）项目效益情况</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b/>
          <w:bCs/>
          <w:color w:val="auto"/>
          <w:sz w:val="32"/>
          <w:szCs w:val="32"/>
          <w:highlight w:val="none"/>
        </w:rPr>
        <w:t xml:space="preserve"> </w:t>
      </w:r>
      <w:r>
        <w:rPr>
          <w:rFonts w:ascii="仿宋_GB2312" w:hAnsi="仿宋" w:cs="宋体" w:hint="eastAsia"/>
          <w:b/>
          <w:bCs/>
          <w:color w:val="auto"/>
          <w:sz w:val="32"/>
          <w:szCs w:val="32"/>
          <w:highlight w:val="none"/>
        </w:rPr>
        <w:t xml:space="preserve">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eastAsia="仿宋_GB2312" w:hint="default"/>
          <w:color w:val="auto"/>
          <w:sz w:val="32"/>
          <w:szCs w:val="32"/>
          <w:highlight w:val="none"/>
          <w:lang w:val="en-US" w:eastAsia="zh-CN"/>
        </w:rPr>
      </w:pPr>
      <w:r>
        <w:rPr>
          <w:rFonts w:ascii="仿宋_GB2312" w:hint="eastAsia"/>
          <w:color w:val="auto"/>
          <w:sz w:val="32"/>
          <w:szCs w:val="32"/>
          <w:highlight w:val="none"/>
          <w:lang w:val="en-US" w:eastAsia="zh-CN"/>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项目实施产生的社会效益</w:t>
      </w:r>
      <w:r>
        <w:rPr>
          <w:rFonts w:ascii="仿宋_GB2312" w:hint="eastAsia"/>
          <w:color w:val="auto"/>
          <w:sz w:val="32"/>
          <w:szCs w:val="32"/>
          <w:highlight w:val="none"/>
        </w:rPr>
        <w:t xml:space="preserve">指标为持续为人民群众服务，预期指标值是长期，实际完成值是长期，指标达到预期目标。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eastAsia="仿宋_GB2312" w:hint="eastAsia"/>
          <w:color w:val="auto"/>
          <w:sz w:val="32"/>
          <w:szCs w:val="32"/>
          <w:highlight w:val="none"/>
          <w:lang w:eastAsia="zh-CN"/>
        </w:rPr>
      </w:pPr>
      <w:r>
        <w:rPr>
          <w:rFonts w:ascii="仿宋_GB2312" w:hAnsi="仿宋" w:cs="宋体" w:hint="eastAsia"/>
          <w:bCs/>
          <w:color w:val="auto"/>
          <w:sz w:val="32"/>
          <w:szCs w:val="32"/>
          <w:highlight w:val="none"/>
          <w:lang w:val="en-US" w:eastAsia="zh-CN"/>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lang w:val="en-US" w:eastAsia="zh-CN"/>
        </w:rPr>
        <w:t xml:space="preserve">4</w:t>
      </w:r>
      <w:r>
        <w:rPr>
          <w:rFonts w:ascii="仿宋_GB2312" w:hAnsi="仿宋" w:cs="宋体" w:hint="eastAsia"/>
          <w:b/>
          <w:bCs/>
          <w:color w:val="auto"/>
          <w:sz w:val="32"/>
          <w:szCs w:val="32"/>
          <w:highlight w:val="none"/>
        </w:rPr>
        <w:t xml:space="preserve">．满意度指标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满意度指标为工作人员满意度，预期指标值是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90%，实际完成值是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90%，指标达到预期目标。</w:t>
      </w:r>
    </w:p>
    <w:p>
      <w:pPr>
        <w:pStyle w:val="Heading4"/>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黑体" w:eastAsia="黑体" w:hAnsi="黑体" w:cs="仿宋_GB2312" w:hint="eastAsia"/>
          <w:b w:val="0"/>
          <w:bCs w:val="0"/>
          <w:color w:val="auto"/>
          <w:kern w:val="2"/>
          <w:sz w:val="32"/>
          <w:szCs w:val="32"/>
          <w:highlight w:val="none"/>
          <w:lang w:val="en-US" w:eastAsia="zh-CN" w:bidi="ar-SA"/>
        </w:rPr>
      </w:pPr>
      <w:r>
        <w:rPr>
          <w:rFonts w:ascii="黑体" w:eastAsia="黑体" w:hAnsi="黑体" w:cs="仿宋_GB2312" w:hint="default"/>
          <w:b w:val="0"/>
          <w:bCs w:val="0"/>
          <w:color w:val="auto"/>
          <w:kern w:val="2"/>
          <w:sz w:val="32"/>
          <w:szCs w:val="32"/>
          <w:highlight w:val="none"/>
          <w:lang w:val="en-US" w:eastAsia="zh-CN" w:bidi="ar-SA"/>
        </w:rPr>
        <w:t xml:space="preserve">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本项目实施效果较好的原因主要是管理制度完善、责任落实到位，跟踪考核机制完善且运行有效，在项目实施过程中创新管理办法，使项目取得了良好的效果</w:t>
      </w:r>
      <w:r>
        <w:rPr>
          <w:rFonts w:hint="eastAsia"/>
          <w:b w:val="0"/>
          <w:color w:val="auto"/>
          <w:highlight w:val="none"/>
          <w:lang w:eastAsia="zh-CN"/>
        </w:rPr>
        <w:t xml:space="preserve">。</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color w:val="auto"/>
          <w:highlight w:val="none"/>
          <w:lang w:val="en-US" w:eastAsia="zh-CN"/>
        </w:rPr>
      </w:pPr>
      <w:r>
        <w:rPr>
          <w:rFonts w:hint="eastAsia"/>
          <w:color w:val="auto"/>
          <w:sz w:val="32"/>
          <w:highlight w:val="none"/>
        </w:rPr>
        <w:t xml:space="preserve">偏差原因：</w:t>
      </w:r>
      <w:r>
        <w:rPr>
          <w:rFonts w:hint="eastAsia"/>
          <w:color w:val="auto"/>
          <w:sz w:val="32"/>
          <w:highlight w:val="none"/>
          <w:lang w:val="en-US" w:eastAsia="zh-CN"/>
        </w:rPr>
        <w:t xml:space="preserve">2024年计划采购智能锁5000套，实际完成采购任务733套，剩余任务因前期工作准备不充足未能完成，剩余部分计划2025年实施，同时项目实施过程中因部分支出材料未按时提供，缺少支付手续，项目预算执行率偏低，未达到预期目标，待提高工作质量和效率。</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六、有关建议</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预算编制工作，认真做好预算的编制。全面编制预算项目，优先保障固定性的、相对刚性的费用支出项目，尽量压缩变动性的、有控制空间的费用项目，进一步提高预算编制的科学性、严谨性和可控性。</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开展进度的跟踪，确保项目绩效目标的完成。规范程序，严格把关。进一步完善项目申报、审核、公示、审批等程序，做好项目信息公开，公开内容要及时、完整、真实，确保项目公平、公开、公正。</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ascii="仿宋_GB2312" w:eastAsia="仿宋_GB2312" w:hAnsi="仿宋" w:cs="宋体" w:hint="eastAsia"/>
          <w:b w:val="0"/>
          <w:color w:val="auto"/>
          <w:kern w:val="2"/>
          <w:highlight w:val="none"/>
        </w:rPr>
        <w:t xml:space="preserve">健全制度，加强督促。针对项目实施中存在的问题，进一步完善相关制度，加强督促检查，确保质量安全和建设进度；同时及时完善资料。</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七</w:t>
      </w:r>
      <w:r>
        <w:rPr>
          <w:rFonts w:ascii="黑体" w:eastAsia="黑体" w:hAnsi="黑体" w:hint="eastAsia"/>
          <w:b w:val="0"/>
          <w:bCs w:val="0"/>
          <w:color w:val="auto"/>
          <w:highlight w:val="none"/>
        </w:rPr>
        <w:t xml:space="preserve">、其他需要说明的问题</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lang w:val="en-US" w:eastAsia="zh-CN"/>
        </w:rPr>
      </w:pPr>
      <w:r>
        <w:rPr>
          <w:rFonts w:ascii="仿宋_GB2312" w:eastAsia="仿宋_GB2312" w:hAnsi="仿宋" w:cs="宋体" w:hint="eastAsia"/>
          <w:b w:val="0"/>
          <w:color w:val="auto"/>
          <w:kern w:val="2"/>
          <w:highlight w:val="none"/>
          <w:lang w:val="en-US" w:eastAsia="zh-CN"/>
        </w:rPr>
        <w:t xml:space="preserve">无。</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shd w:val="clear" w:color="auto"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0.11</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1.72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lang w:val="en-US" w:eastAsia="zh-CN"/>
              </w:rPr>
              <w:t xml:space="preserve">0.15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shd w:val="clear" w:color="auto" w:fill="FFFFFF"/>
            <w:noWrap w:val="0"/>
            <w:vAlign w:val="center"/>
          </w:tcPr>
          <w:p>
            <w:pPr>
              <w:widowControl/>
              <w:spacing w:line="400" w:lineRule="exact"/>
              <w:jc w:val="center"/>
              <w:rPr>
                <w:rFonts w:ascii="仿宋_GB2312" w:eastAsia="仿宋_GB2312" w:hAnsi="仿宋_GB2312" w:cs="仿宋_GB2312" w:hint="default"/>
                <w:color w:val="auto"/>
                <w:kern w:val="0"/>
                <w:sz w:val="24"/>
                <w:highlight w:val="none"/>
                <w:lang w:val="en-US" w:eastAsia="zh-CN"/>
              </w:rPr>
            </w:pPr>
            <w:r>
              <w:rPr>
                <w:rFonts w:ascii="仿宋_GB2312" w:hAnsi="仿宋_GB2312" w:cs="仿宋_GB2312" w:hint="eastAsia"/>
                <w:color w:val="auto"/>
                <w:kern w:val="0"/>
                <w:sz w:val="24"/>
                <w:highlight w:val="none"/>
                <w:lang w:val="en-US" w:eastAsia="zh-CN"/>
              </w:rPr>
              <w:t xml:space="preserve">81.98</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qFormat="1"/>
    <w:lsdException w:name="heading 3" w:semiHidden="0" w:unhideWhenUsed="0" w:qFormat="1"/>
    <w:lsdException w:name="heading 4" w:semiHidden="0"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Char"/>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Char"/>
    <w:unhideWhenUsed/>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unhideWhenUsed/>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Char">
    <w:name w:val="标题 1 Char"/>
    <w:basedOn w:val="DefaultParagraphFont"/>
    <w:link w:val="Heading1"/>
    <w:rPr>
      <w:rFonts w:eastAsia="仿宋_GB2312"/>
      <w:b/>
      <w:bCs/>
      <w:kern w:val="44"/>
      <w:sz w:val="44"/>
      <w:szCs w:val="44"/>
    </w:rPr>
  </w:style>
  <w:style w:type="character" w:customStyle="1" w:styleId="标题2Char">
    <w:name w:val="标题 2 Char"/>
    <w:basedOn w:val="DefaultParagraphFont"/>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paragraph" w:customStyle="1" w:styleId="标题2">
    <w:name w:val="标题2"/>
    <w:basedOn w:val="Heading2"/>
    <w:qFormat/>
    <w:pPr>
      <w:numPr>
        <w:ilvl w:val="0"/>
        <w:numId w:val="4"/>
      </w:numPr>
      <w:spacing w:before="120" w:after="120" w:line="500" w:lineRule="exact"/>
    </w:pPr>
    <w:rPr>
      <w:rFonts w:ascii="仿宋_GB2312" w:eastAsia="仿宋_GB2312" w:cs="Times New Roman"/>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F0E79811ADDF41AB8E8E483BD0B79BFA_13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30</TotalTime>
  <Pages>20</Pages>
  <Words>203</Words>
  <Characters>255</Characters>
  <Application>WPS Office_12.1.0.15120_F1E327BC-269C-435d-A152-05C5408002CA</Application>
  <DocSecurity>0</DocSecurity>
  <Lines>56</Lines>
  <Paragraphs>15</Paragraphs>
  <Company>P R C</Company>
  <CharactersWithSpaces>255</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62</cp:revision>
  <dcterms:created xsi:type="dcterms:W3CDTF">2020-05-07T10:25:00Z</dcterms:created>
  <dcterms:modified xsi:type="dcterms:W3CDTF">2025-09-05T07:55:35Z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F0E79811ADDF41AB8E8E483BD0B79BFA_13</vt:lpwstr>
  </property>
  <property fmtid="{D5CDD505-2E9C-101B-9397-08002B2CF9AE}" pid="4" name="KSOTemplateDocerSaveRecord">
    <vt:lpwstr>eyJoZGlkIjoiYzZkNzQ4ZWFiZmQ4NTRhOWRkZTk3YTMwMjlmMmZhYmUiLCJ1c2VySWQiOiI1NzgxMjU4NDIifQ_x003D__x003D_</vt:lpwstr>
  </property>
</Properties>
</file>