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430218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阿图什市城镇保障性住房服务中心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49AE7A8">
      <w:r>
        <w:br w:type="page"/>
      </w:r>
    </w:p>
    <w:p w14:paraId="3A723335">
      <w:pPr>
        <w:spacing w:line="640" w:lineRule="exact"/>
        <w:jc w:val="center"/>
        <w:outlineLvl w:val="1"/>
      </w:pPr>
      <w:r>
        <w:rPr>
          <w:rFonts w:ascii="黑体" w:hAnsi="黑体" w:eastAsia="黑体"/>
          <w:sz w:val="32"/>
        </w:rPr>
        <w:t>第一部分 单位概况</w:t>
      </w:r>
    </w:p>
    <w:p w14:paraId="07DD9231">
      <w:pPr>
        <w:spacing w:line="640" w:lineRule="exact"/>
        <w:ind w:firstLine="640"/>
        <w:jc w:val="both"/>
        <w:outlineLvl w:val="2"/>
      </w:pPr>
      <w:r>
        <w:rPr>
          <w:rFonts w:ascii="黑体" w:hAnsi="黑体" w:eastAsia="黑体"/>
          <w:sz w:val="32"/>
        </w:rPr>
        <w:t>一、主要职能</w:t>
      </w:r>
    </w:p>
    <w:p w14:paraId="11953587">
      <w:pPr>
        <w:spacing w:line="580" w:lineRule="exact"/>
        <w:ind w:firstLine="640"/>
        <w:jc w:val="both"/>
      </w:pPr>
      <w:r>
        <w:rPr>
          <w:rFonts w:ascii="仿宋_GB2312" w:hAnsi="仿宋_GB2312" w:eastAsia="仿宋_GB2312"/>
          <w:sz w:val="32"/>
        </w:rPr>
        <w:t>1.组织编制住房保障发展规划，实施细则，规范住房保障工作程序，拟定全市住房保障管理措施，制度和年度计划并组织实施。</w:t>
      </w:r>
    </w:p>
    <w:p w14:paraId="3E53831D">
      <w:pPr>
        <w:spacing w:line="580" w:lineRule="exact"/>
        <w:ind w:firstLine="640"/>
        <w:jc w:val="both"/>
      </w:pPr>
      <w:r>
        <w:rPr>
          <w:rFonts w:ascii="仿宋_GB2312" w:hAnsi="仿宋_GB2312" w:eastAsia="仿宋_GB2312"/>
          <w:sz w:val="32"/>
        </w:rPr>
        <w:t>2.负责全市保障性住房建设和监督工作，建立规范的资金筹措和管理制度，协调争取上级住房保障补助资金。</w:t>
      </w:r>
    </w:p>
    <w:p w14:paraId="03D9A1C7">
      <w:pPr>
        <w:spacing w:line="580" w:lineRule="exact"/>
        <w:ind w:firstLine="640"/>
        <w:jc w:val="both"/>
      </w:pPr>
      <w:r>
        <w:rPr>
          <w:rFonts w:ascii="仿宋_GB2312" w:hAnsi="仿宋_GB2312" w:eastAsia="仿宋_GB2312"/>
          <w:sz w:val="32"/>
        </w:rPr>
        <w:t>3.</w:t>
      </w:r>
      <w:r>
        <w:rPr>
          <w:rFonts w:hint="eastAsia" w:ascii="仿宋_GB2312" w:hAnsi="仿宋_GB2312" w:eastAsia="仿宋_GB2312"/>
          <w:sz w:val="32"/>
          <w:lang w:eastAsia="zh-CN"/>
        </w:rPr>
        <w:t>指导开展</w:t>
      </w:r>
      <w:r>
        <w:rPr>
          <w:rFonts w:ascii="仿宋_GB2312" w:hAnsi="仿宋_GB2312" w:eastAsia="仿宋_GB2312"/>
          <w:sz w:val="32"/>
        </w:rPr>
        <w:t>保障对象的入户调查，初审，公示，建档等日常工作。</w:t>
      </w:r>
    </w:p>
    <w:p w14:paraId="786FB388">
      <w:pPr>
        <w:spacing w:line="640" w:lineRule="exact"/>
        <w:ind w:firstLine="640"/>
        <w:jc w:val="both"/>
        <w:outlineLvl w:val="2"/>
      </w:pPr>
      <w:r>
        <w:rPr>
          <w:rFonts w:ascii="黑体" w:hAnsi="黑体" w:eastAsia="黑体"/>
          <w:sz w:val="32"/>
        </w:rPr>
        <w:t>二、机构设置及人员情况</w:t>
      </w:r>
    </w:p>
    <w:p w14:paraId="59AA6D28">
      <w:pPr>
        <w:spacing w:line="580" w:lineRule="exact"/>
        <w:ind w:firstLine="640"/>
        <w:jc w:val="both"/>
      </w:pPr>
      <w:r>
        <w:rPr>
          <w:rFonts w:ascii="仿宋_GB2312" w:hAnsi="仿宋_GB2312" w:eastAsia="仿宋_GB2312"/>
          <w:sz w:val="32"/>
        </w:rPr>
        <w:t>阿图什市城镇保障性住房服务中心2024年度，实有人数10人，其中：在职人员10人，增加0人；离休人员0人，增加0人；退休人员0人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14:paraId="498E6C32">
      <w:pPr>
        <w:spacing w:line="580" w:lineRule="exact"/>
        <w:ind w:firstLine="640"/>
        <w:jc w:val="both"/>
      </w:pPr>
      <w:r>
        <w:rPr>
          <w:rFonts w:ascii="仿宋_GB2312" w:hAnsi="仿宋_GB2312" w:eastAsia="仿宋_GB2312"/>
          <w:sz w:val="32"/>
        </w:rPr>
        <w:t>阿图什市城镇保障性住房服务中心无下属预算单位，下设2个科室，分别是：综合业务科、综合办公室。</w:t>
      </w:r>
    </w:p>
    <w:p w14:paraId="73F7A6A8">
      <w:r>
        <w:br w:type="page"/>
      </w:r>
    </w:p>
    <w:p w14:paraId="76DA1FDA">
      <w:pPr>
        <w:spacing w:line="240" w:lineRule="auto"/>
        <w:jc w:val="center"/>
        <w:outlineLvl w:val="1"/>
      </w:pPr>
      <w:r>
        <w:rPr>
          <w:rFonts w:ascii="黑体" w:hAnsi="黑体" w:eastAsia="黑体"/>
          <w:sz w:val="32"/>
        </w:rPr>
        <w:t>第二部分 部门决算情况说明</w:t>
      </w:r>
    </w:p>
    <w:p w14:paraId="27C1186F">
      <w:pPr>
        <w:spacing w:line="640" w:lineRule="exact"/>
        <w:ind w:firstLine="640"/>
        <w:jc w:val="both"/>
        <w:outlineLvl w:val="2"/>
      </w:pPr>
      <w:r>
        <w:rPr>
          <w:rFonts w:ascii="黑体" w:hAnsi="黑体" w:eastAsia="黑体"/>
          <w:sz w:val="32"/>
        </w:rPr>
        <w:t>一、收入支出决算总体情况说明</w:t>
      </w:r>
    </w:p>
    <w:p w14:paraId="6156108C">
      <w:pPr>
        <w:spacing w:line="580" w:lineRule="exact"/>
        <w:ind w:firstLine="640"/>
        <w:jc w:val="both"/>
      </w:pPr>
      <w:r>
        <w:rPr>
          <w:rFonts w:ascii="仿宋_GB2312" w:hAnsi="仿宋_GB2312" w:eastAsia="仿宋_GB2312"/>
          <w:b/>
          <w:sz w:val="32"/>
        </w:rPr>
        <w:t>2024年度收入总计304.98万元，</w:t>
      </w:r>
      <w:r>
        <w:rPr>
          <w:rFonts w:ascii="仿宋_GB2312" w:hAnsi="仿宋_GB2312" w:eastAsia="仿宋_GB2312"/>
          <w:b w:val="0"/>
          <w:sz w:val="32"/>
        </w:rPr>
        <w:t>其中：本年收入合计304.98万元，使用非财政拨款结余（含专用结余）0.00万元，年初结转和结余0.00万元。</w:t>
      </w:r>
    </w:p>
    <w:p w14:paraId="0F79103E">
      <w:pPr>
        <w:spacing w:line="580" w:lineRule="exact"/>
        <w:ind w:firstLine="640"/>
        <w:jc w:val="both"/>
      </w:pPr>
      <w:r>
        <w:rPr>
          <w:rFonts w:ascii="仿宋_GB2312" w:hAnsi="仿宋_GB2312" w:eastAsia="仿宋_GB2312"/>
          <w:b/>
          <w:sz w:val="32"/>
        </w:rPr>
        <w:t>2024年度支出总计304.98万元，</w:t>
      </w:r>
      <w:r>
        <w:rPr>
          <w:rFonts w:ascii="仿宋_GB2312" w:hAnsi="仿宋_GB2312" w:eastAsia="仿宋_GB2312"/>
          <w:b w:val="0"/>
          <w:sz w:val="32"/>
        </w:rPr>
        <w:t>其中：本年支出合计304.98万元，结余分配0.00万元，年末结转和结余0.00万元。</w:t>
      </w:r>
    </w:p>
    <w:p w14:paraId="4DCC46DB">
      <w:pPr>
        <w:spacing w:line="580" w:lineRule="exact"/>
        <w:ind w:firstLine="640"/>
        <w:jc w:val="both"/>
      </w:pPr>
      <w:r>
        <w:rPr>
          <w:rFonts w:ascii="仿宋_GB2312" w:hAnsi="仿宋_GB2312" w:eastAsia="仿宋_GB2312"/>
          <w:b w:val="0"/>
          <w:sz w:val="32"/>
        </w:rPr>
        <w:t>收入支出总体与上年相比，减少481.02万元，下降61.20%，主要原因是：本年维修支出和公租房清退房款及租金减少。</w:t>
      </w:r>
    </w:p>
    <w:p w14:paraId="55B3D45B">
      <w:pPr>
        <w:spacing w:line="640" w:lineRule="exact"/>
        <w:ind w:firstLine="640"/>
        <w:jc w:val="both"/>
        <w:outlineLvl w:val="2"/>
      </w:pPr>
      <w:r>
        <w:rPr>
          <w:rFonts w:ascii="黑体" w:hAnsi="黑体" w:eastAsia="黑体"/>
          <w:sz w:val="32"/>
        </w:rPr>
        <w:t>二、收入决算情况说明</w:t>
      </w:r>
    </w:p>
    <w:p w14:paraId="67D1AAD6">
      <w:pPr>
        <w:spacing w:line="580" w:lineRule="exact"/>
        <w:ind w:firstLine="640"/>
        <w:jc w:val="both"/>
      </w:pPr>
      <w:r>
        <w:rPr>
          <w:rFonts w:ascii="仿宋_GB2312" w:hAnsi="仿宋_GB2312" w:eastAsia="仿宋_GB2312"/>
          <w:b/>
          <w:sz w:val="32"/>
        </w:rPr>
        <w:t>本年收入304.98万元，</w:t>
      </w:r>
      <w:r>
        <w:rPr>
          <w:rFonts w:ascii="仿宋_GB2312" w:hAnsi="仿宋_GB2312" w:eastAsia="仿宋_GB2312"/>
          <w:b w:val="0"/>
          <w:sz w:val="32"/>
        </w:rPr>
        <w:t>其中：财政拨款收入304.98万元，占100.00%；上级补助收入0.00万元，占0.00%；事业收入0.00万元，占0.00%；经营收入0.00万元，占0.00%；附属单位上缴收入0.00万元，占0.00%；其他收入0.00万元，占0.00%。</w:t>
      </w:r>
    </w:p>
    <w:p w14:paraId="3FA94D68">
      <w:pPr>
        <w:spacing w:line="640" w:lineRule="exact"/>
        <w:ind w:firstLine="640"/>
        <w:jc w:val="both"/>
        <w:outlineLvl w:val="2"/>
      </w:pPr>
      <w:r>
        <w:rPr>
          <w:rFonts w:ascii="黑体" w:hAnsi="黑体" w:eastAsia="黑体"/>
          <w:sz w:val="32"/>
        </w:rPr>
        <w:t>三、支出决算情况说明</w:t>
      </w:r>
    </w:p>
    <w:p w14:paraId="17AC4B63">
      <w:pPr>
        <w:spacing w:line="580" w:lineRule="exact"/>
        <w:ind w:firstLine="640"/>
        <w:jc w:val="both"/>
      </w:pPr>
      <w:r>
        <w:rPr>
          <w:rFonts w:ascii="仿宋_GB2312" w:hAnsi="仿宋_GB2312" w:eastAsia="仿宋_GB2312"/>
          <w:b/>
          <w:sz w:val="32"/>
        </w:rPr>
        <w:t>本年支出304.98万元，</w:t>
      </w:r>
      <w:r>
        <w:rPr>
          <w:rFonts w:ascii="仿宋_GB2312" w:hAnsi="仿宋_GB2312" w:eastAsia="仿宋_GB2312"/>
          <w:b w:val="0"/>
          <w:sz w:val="32"/>
        </w:rPr>
        <w:t>其中：基本支出148.96万元，占48.84%；项目支出156.02万元，占51.16%；上缴上级支出0.00万元，占0.00%；经营支出0.00万元，占0.00%；对附属单位补助支出0.00万元，占0.00%。</w:t>
      </w:r>
    </w:p>
    <w:p w14:paraId="0DEB4BA5">
      <w:pPr>
        <w:spacing w:line="640" w:lineRule="exact"/>
        <w:ind w:firstLine="640"/>
        <w:jc w:val="both"/>
        <w:outlineLvl w:val="2"/>
      </w:pPr>
      <w:r>
        <w:rPr>
          <w:rFonts w:ascii="黑体" w:hAnsi="黑体" w:eastAsia="黑体"/>
          <w:sz w:val="32"/>
        </w:rPr>
        <w:t>四、财政拨款收入支出决算总体情况说明</w:t>
      </w:r>
    </w:p>
    <w:p w14:paraId="2851E720">
      <w:pPr>
        <w:spacing w:line="580" w:lineRule="exact"/>
        <w:ind w:firstLine="640"/>
        <w:jc w:val="both"/>
      </w:pPr>
      <w:r>
        <w:rPr>
          <w:rFonts w:ascii="仿宋_GB2312" w:hAnsi="仿宋_GB2312" w:eastAsia="仿宋_GB2312"/>
          <w:b/>
          <w:sz w:val="32"/>
        </w:rPr>
        <w:t>2024年度财政拨款收入总计304.98万元，</w:t>
      </w:r>
      <w:r>
        <w:rPr>
          <w:rFonts w:ascii="仿宋_GB2312" w:hAnsi="仿宋_GB2312" w:eastAsia="仿宋_GB2312"/>
          <w:b w:val="0"/>
          <w:sz w:val="32"/>
        </w:rPr>
        <w:t>其中：年初财政拨款结转和结余0.00万元，本年财政拨款收入304.98万元。</w:t>
      </w:r>
      <w:r>
        <w:rPr>
          <w:rFonts w:ascii="仿宋_GB2312" w:hAnsi="仿宋_GB2312" w:eastAsia="仿宋_GB2312"/>
          <w:b/>
          <w:sz w:val="32"/>
        </w:rPr>
        <w:t>财政拨款支出总计304.98万元，</w:t>
      </w:r>
      <w:r>
        <w:rPr>
          <w:rFonts w:ascii="仿宋_GB2312" w:hAnsi="仿宋_GB2312" w:eastAsia="仿宋_GB2312"/>
          <w:b w:val="0"/>
          <w:sz w:val="32"/>
        </w:rPr>
        <w:t>其中：年末财政拨款结转和结余0.00万元，本年财政拨款支出304.98万元。</w:t>
      </w:r>
    </w:p>
    <w:p w14:paraId="57C2C139">
      <w:pPr>
        <w:spacing w:line="580" w:lineRule="exact"/>
        <w:ind w:firstLine="640"/>
        <w:jc w:val="both"/>
        <w:rPr>
          <w:rFonts w:hint="default" w:eastAsia="仿宋_GB2312"/>
          <w:lang w:val="en-US"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减少481.02万元，下降61.20%，主要原因是：本年维修支出和公租房清退房款及租金减少。</w:t>
      </w:r>
      <w:r>
        <w:rPr>
          <w:rFonts w:ascii="仿宋_GB2312" w:hAnsi="仿宋_GB2312" w:eastAsia="仿宋_GB2312"/>
          <w:b/>
          <w:sz w:val="32"/>
        </w:rPr>
        <w:t>与年初预算相比，</w:t>
      </w:r>
      <w:r>
        <w:rPr>
          <w:rFonts w:ascii="仿宋_GB2312" w:hAnsi="仿宋_GB2312" w:eastAsia="仿宋_GB2312"/>
          <w:b w:val="0"/>
          <w:sz w:val="32"/>
        </w:rPr>
        <w:t>年初预算数2,757.60万元，决算数304.98万元，预决算差异率-88.94%，主要原因是：</w:t>
      </w:r>
      <w:r>
        <w:rPr>
          <w:rFonts w:hint="eastAsia" w:ascii="仿宋_GB2312" w:hAnsi="仿宋_GB2312" w:eastAsia="仿宋_GB2312"/>
          <w:b w:val="0"/>
          <w:sz w:val="32"/>
          <w:lang w:val="en-US" w:eastAsia="zh-CN"/>
        </w:rPr>
        <w:t>年中调减阿图什市公租房维修、维护、管理及智能锁采购项目经费，导致预决算差异。</w:t>
      </w:r>
    </w:p>
    <w:p w14:paraId="287841A1">
      <w:pPr>
        <w:spacing w:line="640" w:lineRule="exact"/>
        <w:ind w:firstLine="640"/>
        <w:jc w:val="both"/>
        <w:outlineLvl w:val="2"/>
      </w:pPr>
      <w:r>
        <w:rPr>
          <w:rFonts w:ascii="黑体" w:hAnsi="黑体" w:eastAsia="黑体"/>
          <w:sz w:val="32"/>
        </w:rPr>
        <w:t>五、一般公共预算财政拨款支出决算情况说明</w:t>
      </w:r>
    </w:p>
    <w:p w14:paraId="291DAC1B">
      <w:pPr>
        <w:spacing w:line="640" w:lineRule="exact"/>
        <w:ind w:firstLine="640"/>
        <w:jc w:val="both"/>
        <w:outlineLvl w:val="3"/>
      </w:pPr>
      <w:r>
        <w:rPr>
          <w:rFonts w:ascii="楷体_GB2312" w:hAnsi="楷体_GB2312" w:eastAsia="楷体_GB2312"/>
          <w:b/>
          <w:sz w:val="32"/>
        </w:rPr>
        <w:t>（一）一般公共预算财政拨款支出决算总体情况</w:t>
      </w:r>
    </w:p>
    <w:p w14:paraId="53D538AF">
      <w:pPr>
        <w:spacing w:line="580" w:lineRule="exact"/>
        <w:ind w:firstLine="640"/>
        <w:jc w:val="both"/>
      </w:pPr>
      <w:r>
        <w:rPr>
          <w:rFonts w:ascii="仿宋_GB2312" w:hAnsi="仿宋_GB2312" w:eastAsia="仿宋_GB2312"/>
          <w:b/>
          <w:sz w:val="32"/>
        </w:rPr>
        <w:t>2024年度一般公共预算财政拨款支出304.98万元，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减少481.02万元，下降61.20%，主要原因是：本年维修支出和公租房清退房款及租金减少。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年初预算数2,757.60万元，决算数304.98万元，预决算差异率-88.94%，主要原因是：</w:t>
      </w:r>
      <w:r>
        <w:rPr>
          <w:rFonts w:hint="eastAsia" w:ascii="仿宋_GB2312" w:hAnsi="仿宋_GB2312" w:eastAsia="仿宋_GB2312"/>
          <w:b w:val="0"/>
          <w:sz w:val="32"/>
          <w:lang w:val="en-US" w:eastAsia="zh-CN"/>
        </w:rPr>
        <w:t>年中调减阿图什市公租房维修、维护、管理及智能锁采购项目经费，导致预决算差异。</w:t>
      </w:r>
    </w:p>
    <w:p w14:paraId="3CEE7E4F">
      <w:pPr>
        <w:spacing w:line="640" w:lineRule="exact"/>
        <w:ind w:firstLine="640"/>
        <w:jc w:val="both"/>
        <w:outlineLvl w:val="3"/>
      </w:pPr>
      <w:r>
        <w:rPr>
          <w:rFonts w:ascii="楷体_GB2312" w:hAnsi="楷体_GB2312" w:eastAsia="楷体_GB2312"/>
          <w:b/>
          <w:sz w:val="32"/>
        </w:rPr>
        <w:t>（二）一般公共预算财政拨款支出决算结构情况</w:t>
      </w:r>
    </w:p>
    <w:p w14:paraId="4504F294">
      <w:pPr>
        <w:spacing w:line="580" w:lineRule="exact"/>
        <w:ind w:firstLine="640"/>
        <w:jc w:val="both"/>
      </w:pPr>
      <w:r>
        <w:rPr>
          <w:rFonts w:ascii="仿宋_GB2312" w:hAnsi="仿宋_GB2312" w:eastAsia="仿宋_GB2312"/>
          <w:b w:val="0"/>
          <w:sz w:val="32"/>
        </w:rPr>
        <w:t>1.社会保障和就业支出(类)15.01万元</w:t>
      </w:r>
      <w:r>
        <w:rPr>
          <w:rFonts w:hint="eastAsia" w:ascii="仿宋_GB2312" w:hAnsi="仿宋_GB2312" w:eastAsia="仿宋_GB2312"/>
          <w:b w:val="0"/>
          <w:sz w:val="32"/>
          <w:lang w:eastAsia="zh-CN"/>
        </w:rPr>
        <w:t>，</w:t>
      </w:r>
      <w:r>
        <w:rPr>
          <w:rFonts w:ascii="仿宋_GB2312" w:hAnsi="仿宋_GB2312" w:eastAsia="仿宋_GB2312"/>
          <w:b w:val="0"/>
          <w:sz w:val="32"/>
        </w:rPr>
        <w:t>占4.92%。</w:t>
      </w:r>
    </w:p>
    <w:p w14:paraId="3EC3460B">
      <w:pPr>
        <w:spacing w:line="580" w:lineRule="exact"/>
        <w:ind w:firstLine="640"/>
        <w:jc w:val="both"/>
      </w:pPr>
      <w:r>
        <w:rPr>
          <w:rFonts w:ascii="仿宋_GB2312" w:hAnsi="仿宋_GB2312" w:eastAsia="仿宋_GB2312"/>
          <w:b w:val="0"/>
          <w:sz w:val="32"/>
        </w:rPr>
        <w:t>2.卫生健康支出(类)4.74万元</w:t>
      </w:r>
      <w:r>
        <w:rPr>
          <w:rFonts w:hint="eastAsia" w:ascii="仿宋_GB2312" w:hAnsi="仿宋_GB2312" w:eastAsia="仿宋_GB2312"/>
          <w:b w:val="0"/>
          <w:sz w:val="32"/>
          <w:lang w:eastAsia="zh-CN"/>
        </w:rPr>
        <w:t>，</w:t>
      </w:r>
      <w:r>
        <w:rPr>
          <w:rFonts w:ascii="仿宋_GB2312" w:hAnsi="仿宋_GB2312" w:eastAsia="仿宋_GB2312"/>
          <w:b w:val="0"/>
          <w:sz w:val="32"/>
        </w:rPr>
        <w:t>占1.55%。</w:t>
      </w:r>
    </w:p>
    <w:p w14:paraId="2CDA81D1">
      <w:pPr>
        <w:spacing w:line="580" w:lineRule="exact"/>
        <w:ind w:firstLine="640"/>
        <w:jc w:val="both"/>
      </w:pPr>
      <w:r>
        <w:rPr>
          <w:rFonts w:ascii="仿宋_GB2312" w:hAnsi="仿宋_GB2312" w:eastAsia="仿宋_GB2312"/>
          <w:b w:val="0"/>
          <w:sz w:val="32"/>
        </w:rPr>
        <w:t>3.城乡社区支出(类)273.10万元</w:t>
      </w:r>
      <w:r>
        <w:rPr>
          <w:rFonts w:hint="eastAsia" w:ascii="仿宋_GB2312" w:hAnsi="仿宋_GB2312" w:eastAsia="仿宋_GB2312"/>
          <w:b w:val="0"/>
          <w:sz w:val="32"/>
          <w:lang w:eastAsia="zh-CN"/>
        </w:rPr>
        <w:t>，</w:t>
      </w:r>
      <w:r>
        <w:rPr>
          <w:rFonts w:ascii="仿宋_GB2312" w:hAnsi="仿宋_GB2312" w:eastAsia="仿宋_GB2312"/>
          <w:b w:val="0"/>
          <w:sz w:val="32"/>
        </w:rPr>
        <w:t>占89.55%。</w:t>
      </w:r>
    </w:p>
    <w:p w14:paraId="61F043B7">
      <w:pPr>
        <w:spacing w:line="580" w:lineRule="exact"/>
        <w:ind w:firstLine="640"/>
        <w:jc w:val="both"/>
      </w:pPr>
      <w:r>
        <w:rPr>
          <w:rFonts w:ascii="仿宋_GB2312" w:hAnsi="仿宋_GB2312" w:eastAsia="仿宋_GB2312"/>
          <w:b w:val="0"/>
          <w:sz w:val="32"/>
        </w:rPr>
        <w:t>4.住房保障支出(类)12.13万元</w:t>
      </w:r>
      <w:r>
        <w:rPr>
          <w:rFonts w:hint="eastAsia" w:ascii="仿宋_GB2312" w:hAnsi="仿宋_GB2312" w:eastAsia="仿宋_GB2312"/>
          <w:b w:val="0"/>
          <w:sz w:val="32"/>
          <w:lang w:eastAsia="zh-CN"/>
        </w:rPr>
        <w:t>，</w:t>
      </w:r>
      <w:r>
        <w:rPr>
          <w:rFonts w:ascii="仿宋_GB2312" w:hAnsi="仿宋_GB2312" w:eastAsia="仿宋_GB2312"/>
          <w:b w:val="0"/>
          <w:sz w:val="32"/>
        </w:rPr>
        <w:t>占3.98%。</w:t>
      </w:r>
    </w:p>
    <w:p w14:paraId="005ADECB">
      <w:pPr>
        <w:spacing w:line="640" w:lineRule="exact"/>
        <w:ind w:firstLine="640"/>
        <w:jc w:val="both"/>
        <w:outlineLvl w:val="3"/>
      </w:pPr>
      <w:r>
        <w:rPr>
          <w:rFonts w:ascii="楷体_GB2312" w:hAnsi="楷体_GB2312" w:eastAsia="楷体_GB2312"/>
          <w:b/>
          <w:sz w:val="32"/>
        </w:rPr>
        <w:t>（三）一般公共预算财政拨款支出决算具体情况</w:t>
      </w:r>
    </w:p>
    <w:p w14:paraId="40C2FF04">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支出决算数为15.01万元，比上年决算增加0.81万元，增长5.70%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1EE41D8A">
      <w:pPr>
        <w:spacing w:line="580" w:lineRule="exact"/>
        <w:ind w:firstLine="640"/>
        <w:jc w:val="both"/>
      </w:pPr>
      <w:r>
        <w:rPr>
          <w:rFonts w:ascii="仿宋_GB2312" w:hAnsi="仿宋_GB2312" w:eastAsia="仿宋_GB2312"/>
          <w:b w:val="0"/>
          <w:sz w:val="32"/>
        </w:rPr>
        <w:t>2.卫生健康支出(类)行政事业单位医疗(款)事业单位医疗(项)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支出决算数为4.74万元，比上年决算增加0.27万元，增长6.04%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354333AB">
      <w:pPr>
        <w:spacing w:line="580" w:lineRule="exact"/>
        <w:ind w:firstLine="640"/>
        <w:jc w:val="both"/>
      </w:pPr>
      <w:r>
        <w:rPr>
          <w:rFonts w:ascii="仿宋_GB2312" w:hAnsi="仿宋_GB2312" w:eastAsia="仿宋_GB2312"/>
          <w:b w:val="0"/>
          <w:sz w:val="32"/>
        </w:rPr>
        <w:t>3.城乡社区支出(类)城乡社区管理事务(款)其他城乡社区管理事务支出(项)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支出决算数为273.10万元，比上年决算减少482.24万元，下降63.84%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主要原因是：本年减少公租房维修、维护智能锁采购、清退房款及租金等经费。</w:t>
      </w:r>
    </w:p>
    <w:p w14:paraId="23FB332C">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支出决算数为12.13万元，比上年决算增加0.14万元，增长1.17%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6A6DB7C4">
      <w:pPr>
        <w:spacing w:line="640" w:lineRule="exact"/>
        <w:ind w:firstLine="640"/>
        <w:jc w:val="both"/>
        <w:outlineLvl w:val="2"/>
      </w:pPr>
      <w:r>
        <w:rPr>
          <w:rFonts w:ascii="黑体" w:hAnsi="黑体" w:eastAsia="黑体"/>
          <w:sz w:val="32"/>
        </w:rPr>
        <w:t>六、一般公共预算财政拨款基本支出决算情况说明</w:t>
      </w:r>
    </w:p>
    <w:p w14:paraId="79F62617">
      <w:pPr>
        <w:spacing w:line="580" w:lineRule="exact"/>
        <w:ind w:firstLine="640"/>
        <w:jc w:val="both"/>
      </w:pPr>
      <w:r>
        <w:rPr>
          <w:rFonts w:ascii="仿宋_GB2312" w:hAnsi="仿宋_GB2312" w:eastAsia="仿宋_GB2312"/>
          <w:b w:val="0"/>
          <w:sz w:val="32"/>
        </w:rPr>
        <w:t>2024年度一般公共预算财政拨款基本支出148.96万元，其中：</w:t>
      </w:r>
      <w:r>
        <w:rPr>
          <w:rFonts w:ascii="仿宋_GB2312" w:hAnsi="仿宋_GB2312" w:eastAsia="仿宋_GB2312"/>
          <w:b/>
          <w:sz w:val="32"/>
        </w:rPr>
        <w:t>人员经费147.46万元，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280F92D0">
      <w:pPr>
        <w:spacing w:line="580" w:lineRule="exact"/>
        <w:ind w:firstLine="640"/>
        <w:jc w:val="both"/>
      </w:pPr>
      <w:r>
        <w:rPr>
          <w:rFonts w:ascii="仿宋_GB2312" w:hAnsi="仿宋_GB2312" w:eastAsia="仿宋_GB2312"/>
          <w:b/>
          <w:sz w:val="32"/>
        </w:rPr>
        <w:t>公用经费1.50万元，</w:t>
      </w:r>
      <w:r>
        <w:rPr>
          <w:rFonts w:ascii="仿宋_GB2312" w:hAnsi="仿宋_GB2312" w:eastAsia="仿宋_GB2312"/>
          <w:b w:val="0"/>
          <w:sz w:val="32"/>
        </w:rPr>
        <w:t>包括：办公费。</w:t>
      </w:r>
    </w:p>
    <w:p w14:paraId="6E519555">
      <w:pPr>
        <w:spacing w:line="640" w:lineRule="exact"/>
        <w:ind w:firstLine="640"/>
        <w:jc w:val="both"/>
        <w:outlineLvl w:val="2"/>
      </w:pPr>
      <w:r>
        <w:rPr>
          <w:rFonts w:ascii="黑体" w:hAnsi="黑体" w:eastAsia="黑体"/>
          <w:sz w:val="32"/>
        </w:rPr>
        <w:t>七、政府性基金预算财政拨款收入支出决算情况说明</w:t>
      </w:r>
    </w:p>
    <w:p w14:paraId="1ADC604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29F1614">
      <w:pPr>
        <w:spacing w:line="640" w:lineRule="exact"/>
        <w:ind w:firstLine="640"/>
        <w:jc w:val="both"/>
        <w:outlineLvl w:val="2"/>
      </w:pPr>
      <w:r>
        <w:rPr>
          <w:rFonts w:ascii="黑体" w:hAnsi="黑体" w:eastAsia="黑体"/>
          <w:sz w:val="32"/>
        </w:rPr>
        <w:t>八、国有资本经营预算财政拨款收入支出决算情况说明</w:t>
      </w:r>
    </w:p>
    <w:p w14:paraId="7DC07E2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A5B21A0">
      <w:pPr>
        <w:spacing w:line="640" w:lineRule="exact"/>
        <w:ind w:firstLine="640"/>
        <w:jc w:val="both"/>
        <w:outlineLvl w:val="2"/>
      </w:pPr>
      <w:r>
        <w:rPr>
          <w:rFonts w:ascii="黑体" w:hAnsi="黑体" w:eastAsia="黑体"/>
          <w:sz w:val="32"/>
        </w:rPr>
        <w:t>九、财政拨款“三公”经费支出决算情况说明</w:t>
      </w:r>
    </w:p>
    <w:p w14:paraId="451CA69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FF514CC">
      <w:pPr>
        <w:spacing w:line="580" w:lineRule="exact"/>
        <w:ind w:firstLine="640"/>
        <w:jc w:val="both"/>
      </w:pPr>
      <w:r>
        <w:rPr>
          <w:rFonts w:ascii="仿宋_GB2312" w:hAnsi="仿宋_GB2312" w:eastAsia="仿宋_GB2312"/>
          <w:b/>
          <w:sz w:val="32"/>
        </w:rPr>
        <w:t>具体情况如下：</w:t>
      </w:r>
    </w:p>
    <w:p w14:paraId="5B1DF2E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B342BA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EA52CA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2A8A91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FA06935">
      <w:pPr>
        <w:spacing w:line="640" w:lineRule="exact"/>
        <w:ind w:firstLine="640"/>
        <w:jc w:val="both"/>
        <w:outlineLvl w:val="2"/>
      </w:pPr>
      <w:r>
        <w:rPr>
          <w:rFonts w:ascii="黑体" w:hAnsi="黑体" w:eastAsia="黑体"/>
          <w:sz w:val="32"/>
        </w:rPr>
        <w:t>十、其他重要事项的情况说明</w:t>
      </w:r>
    </w:p>
    <w:p w14:paraId="3BBC54D2">
      <w:pPr>
        <w:spacing w:line="640" w:lineRule="exact"/>
        <w:ind w:firstLine="640"/>
        <w:jc w:val="both"/>
        <w:outlineLvl w:val="3"/>
      </w:pPr>
      <w:r>
        <w:rPr>
          <w:rFonts w:ascii="楷体_GB2312" w:hAnsi="楷体_GB2312" w:eastAsia="楷体_GB2312"/>
          <w:b/>
          <w:sz w:val="32"/>
        </w:rPr>
        <w:t>（一）机关运行经费及公用经费支出情况</w:t>
      </w:r>
    </w:p>
    <w:p w14:paraId="1684E68E">
      <w:pPr>
        <w:spacing w:line="580" w:lineRule="exact"/>
        <w:ind w:firstLine="640"/>
        <w:jc w:val="both"/>
      </w:pPr>
      <w:r>
        <w:rPr>
          <w:rFonts w:ascii="仿宋_GB2312" w:hAnsi="仿宋_GB2312" w:eastAsia="仿宋_GB2312"/>
          <w:b w:val="0"/>
          <w:sz w:val="32"/>
        </w:rPr>
        <w:t>2024年度阿图什市城镇保障性住房服务中心（事业单位）公用经费支出1.50万元，比上年增加0.05万元，增长3.45%，主要原因是：本年更新、维护补充办公用品，导致公用经费较上年增加。</w:t>
      </w:r>
    </w:p>
    <w:p w14:paraId="4362CDD9">
      <w:pPr>
        <w:spacing w:line="640" w:lineRule="exact"/>
        <w:ind w:firstLine="640"/>
        <w:jc w:val="both"/>
        <w:outlineLvl w:val="3"/>
      </w:pPr>
      <w:r>
        <w:rPr>
          <w:rFonts w:ascii="楷体_GB2312" w:hAnsi="楷体_GB2312" w:eastAsia="楷体_GB2312"/>
          <w:b/>
          <w:sz w:val="32"/>
        </w:rPr>
        <w:t>（二）政府采购情况</w:t>
      </w:r>
    </w:p>
    <w:p w14:paraId="74377371">
      <w:pPr>
        <w:spacing w:line="580" w:lineRule="exact"/>
        <w:ind w:firstLine="640"/>
        <w:jc w:val="both"/>
      </w:pPr>
      <w:r>
        <w:rPr>
          <w:rFonts w:ascii="仿宋_GB2312" w:hAnsi="仿宋_GB2312" w:eastAsia="仿宋_GB2312"/>
          <w:b w:val="0"/>
          <w:sz w:val="32"/>
        </w:rPr>
        <w:t>2024年度政府采购支出总额23.58万元，其中：政府采购货物支出20.32万元、政府采购工程支出0.00万元、政府采购服务支出3.26万元。</w:t>
      </w:r>
    </w:p>
    <w:p w14:paraId="25C34621">
      <w:pPr>
        <w:spacing w:line="580" w:lineRule="exact"/>
        <w:ind w:firstLine="640"/>
        <w:jc w:val="both"/>
      </w:pPr>
      <w:r>
        <w:rPr>
          <w:rFonts w:ascii="仿宋_GB2312" w:hAnsi="仿宋_GB2312" w:eastAsia="仿宋_GB2312"/>
          <w:b w:val="0"/>
          <w:sz w:val="32"/>
        </w:rPr>
        <w:t>授予中小企业合同金额23.58万元，占政府采购支出总额的100.00%，其中：授予小微企业合同金额22.30万元，占政府采购支出总额的94.57%。</w:t>
      </w:r>
    </w:p>
    <w:p w14:paraId="08D08517">
      <w:pPr>
        <w:spacing w:line="640" w:lineRule="exact"/>
        <w:ind w:firstLine="640"/>
        <w:jc w:val="both"/>
        <w:outlineLvl w:val="3"/>
      </w:pPr>
      <w:r>
        <w:rPr>
          <w:rFonts w:ascii="楷体_GB2312" w:hAnsi="楷体_GB2312" w:eastAsia="楷体_GB2312"/>
          <w:b/>
          <w:sz w:val="32"/>
        </w:rPr>
        <w:t>（三）国有资产占用情况说明</w:t>
      </w:r>
    </w:p>
    <w:p w14:paraId="20F84C92">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D5A5600">
      <w:pPr>
        <w:spacing w:line="640" w:lineRule="exact"/>
        <w:ind w:firstLine="640"/>
        <w:jc w:val="both"/>
        <w:outlineLvl w:val="2"/>
      </w:pPr>
      <w:r>
        <w:rPr>
          <w:rFonts w:ascii="黑体" w:hAnsi="黑体" w:eastAsia="黑体"/>
          <w:sz w:val="32"/>
        </w:rPr>
        <w:t>十一、预算绩效的情况说明</w:t>
      </w:r>
    </w:p>
    <w:p w14:paraId="1D667C6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304.98万元，实际执行总额304.98万元；预算绩效评价项目2个，全年预算数2,606.00万元，全年执行数156.03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14:paraId="701A27E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C39CCA9">
        <w:tblPrEx>
          <w:tblCellMar>
            <w:top w:w="0" w:type="dxa"/>
            <w:left w:w="108" w:type="dxa"/>
            <w:bottom w:w="0" w:type="dxa"/>
            <w:right w:w="108" w:type="dxa"/>
          </w:tblCellMar>
        </w:tblPrEx>
        <w:tc>
          <w:tcPr>
            <w:tcW w:w="8840" w:type="dxa"/>
            <w:gridSpan w:val="8"/>
            <w:vAlign w:val="center"/>
          </w:tcPr>
          <w:p w14:paraId="1F89F7F8">
            <w:pPr>
              <w:jc w:val="center"/>
            </w:pPr>
            <w:r>
              <w:rPr>
                <w:rFonts w:ascii="宋体" w:hAnsi="宋体" w:eastAsia="宋体"/>
                <w:sz w:val="24"/>
              </w:rPr>
              <w:t>单位整体支出绩效自评表</w:t>
            </w:r>
          </w:p>
        </w:tc>
      </w:tr>
      <w:tr w14:paraId="52847802">
        <w:tblPrEx>
          <w:tblCellMar>
            <w:top w:w="0" w:type="dxa"/>
            <w:left w:w="108" w:type="dxa"/>
            <w:bottom w:w="0" w:type="dxa"/>
            <w:right w:w="108" w:type="dxa"/>
          </w:tblCellMar>
        </w:tblPrEx>
        <w:tc>
          <w:tcPr>
            <w:tcW w:w="8840" w:type="dxa"/>
            <w:gridSpan w:val="8"/>
            <w:vAlign w:val="center"/>
          </w:tcPr>
          <w:p w14:paraId="21ED467C">
            <w:pPr>
              <w:jc w:val="center"/>
            </w:pPr>
            <w:r>
              <w:rPr>
                <w:rFonts w:ascii="宋体" w:hAnsi="宋体" w:eastAsia="宋体"/>
                <w:sz w:val="24"/>
              </w:rPr>
              <w:t>（2024年度）</w:t>
            </w:r>
          </w:p>
        </w:tc>
      </w:tr>
      <w:tr w14:paraId="1201C37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DEC6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CAB356">
            <w:pPr>
              <w:jc w:val="center"/>
            </w:pPr>
            <w:r>
              <w:rPr>
                <w:rFonts w:ascii="宋体" w:hAnsi="宋体" w:eastAsia="宋体"/>
                <w:sz w:val="16"/>
              </w:rPr>
              <w:t>阿图什市城镇保障性住房服务中心</w:t>
            </w:r>
          </w:p>
        </w:tc>
      </w:tr>
      <w:tr w14:paraId="391A025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F684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7622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FE73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B9165">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B2C5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104D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26FD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C1F87">
            <w:pPr>
              <w:jc w:val="center"/>
            </w:pPr>
            <w:r>
              <w:rPr>
                <w:rFonts w:ascii="宋体" w:hAnsi="宋体" w:eastAsia="宋体"/>
                <w:sz w:val="16"/>
              </w:rPr>
              <w:t>得分</w:t>
            </w:r>
          </w:p>
        </w:tc>
      </w:tr>
      <w:tr w14:paraId="29E6B5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F996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CFAF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79F04">
            <w:pPr>
              <w:jc w:val="center"/>
            </w:pPr>
            <w:r>
              <w:rPr>
                <w:rFonts w:ascii="宋体" w:hAnsi="宋体" w:eastAsia="宋体"/>
                <w:sz w:val="16"/>
              </w:rPr>
              <w:t>2,757.59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FA660">
            <w:pPr>
              <w:jc w:val="center"/>
            </w:pPr>
            <w:r>
              <w:rPr>
                <w:rFonts w:ascii="宋体" w:hAnsi="宋体" w:eastAsia="宋体"/>
                <w:sz w:val="16"/>
              </w:rPr>
              <w:t>304.98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B152C">
            <w:pPr>
              <w:jc w:val="center"/>
            </w:pPr>
            <w:r>
              <w:rPr>
                <w:rFonts w:ascii="宋体" w:hAnsi="宋体" w:eastAsia="宋体"/>
                <w:sz w:val="16"/>
              </w:rPr>
              <w:t>304.98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8216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B9643">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6B3EE">
            <w:pPr>
              <w:jc w:val="center"/>
              <w:rPr>
                <w:rFonts w:hint="default" w:eastAsia="宋体"/>
                <w:lang w:val="en-US" w:eastAsia="zh-CN"/>
              </w:rPr>
            </w:pPr>
            <w:r>
              <w:rPr>
                <w:rFonts w:hint="eastAsia" w:ascii="宋体" w:hAnsi="宋体"/>
                <w:sz w:val="16"/>
                <w:lang w:val="en-US" w:eastAsia="zh-CN"/>
              </w:rPr>
              <w:t>10</w:t>
            </w:r>
          </w:p>
        </w:tc>
      </w:tr>
      <w:tr w14:paraId="428B56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2FD1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FB0B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29F9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7906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E307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E76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2424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B4EA7">
            <w:pPr>
              <w:jc w:val="center"/>
            </w:pPr>
            <w:r>
              <w:rPr>
                <w:rFonts w:ascii="宋体" w:hAnsi="宋体" w:eastAsia="宋体"/>
                <w:sz w:val="16"/>
              </w:rPr>
              <w:t>—</w:t>
            </w:r>
          </w:p>
        </w:tc>
      </w:tr>
      <w:tr w14:paraId="0341D0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DB66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FDF4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A1998">
            <w:pPr>
              <w:jc w:val="center"/>
            </w:pPr>
            <w:r>
              <w:rPr>
                <w:rFonts w:ascii="宋体" w:hAnsi="宋体" w:eastAsia="宋体"/>
                <w:sz w:val="16"/>
              </w:rPr>
              <w:t>2,757.59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8A8A2">
            <w:pPr>
              <w:jc w:val="center"/>
            </w:pPr>
            <w:r>
              <w:rPr>
                <w:rFonts w:ascii="宋体" w:hAnsi="宋体" w:eastAsia="宋体"/>
                <w:sz w:val="16"/>
              </w:rPr>
              <w:t>304.98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176E3">
            <w:pPr>
              <w:jc w:val="center"/>
            </w:pPr>
            <w:r>
              <w:rPr>
                <w:rFonts w:ascii="宋体" w:hAnsi="宋体" w:eastAsia="宋体"/>
                <w:sz w:val="16"/>
              </w:rPr>
              <w:t>304.98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FF6F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1773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975F3">
            <w:pPr>
              <w:jc w:val="center"/>
            </w:pPr>
            <w:r>
              <w:rPr>
                <w:rFonts w:ascii="宋体" w:hAnsi="宋体" w:eastAsia="宋体"/>
                <w:sz w:val="16"/>
              </w:rPr>
              <w:t>—</w:t>
            </w:r>
          </w:p>
        </w:tc>
      </w:tr>
      <w:tr w14:paraId="77E509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4EA8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CCA9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5150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96F4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FE05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0A47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8067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A2D3F">
            <w:pPr>
              <w:jc w:val="center"/>
            </w:pPr>
            <w:r>
              <w:rPr>
                <w:rFonts w:ascii="宋体" w:hAnsi="宋体" w:eastAsia="宋体"/>
                <w:sz w:val="16"/>
              </w:rPr>
              <w:t>—</w:t>
            </w:r>
          </w:p>
        </w:tc>
      </w:tr>
      <w:tr w14:paraId="075B90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280A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70811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4AD415">
            <w:pPr>
              <w:jc w:val="center"/>
            </w:pPr>
            <w:r>
              <w:rPr>
                <w:rFonts w:ascii="宋体" w:hAnsi="宋体" w:eastAsia="宋体"/>
                <w:sz w:val="16"/>
              </w:rPr>
              <w:t>实际完成情况</w:t>
            </w:r>
          </w:p>
        </w:tc>
      </w:tr>
      <w:tr w14:paraId="5A3F74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3D3A8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03B178">
            <w:pPr>
              <w:jc w:val="both"/>
            </w:pPr>
            <w:r>
              <w:rPr>
                <w:rFonts w:ascii="宋体" w:hAnsi="宋体" w:eastAsia="宋体"/>
                <w:sz w:val="16"/>
              </w:rPr>
              <w:t>单位基本职能：承担保障城镇低收入家庭住房的责任。拟订全市住房保障相关政策并指导实施</w:t>
            </w:r>
            <w:r>
              <w:rPr>
                <w:rFonts w:hint="eastAsia" w:ascii="宋体" w:hAnsi="宋体"/>
                <w:sz w:val="16"/>
                <w:lang w:eastAsia="zh-CN"/>
              </w:rPr>
              <w:t>，</w:t>
            </w:r>
            <w:r>
              <w:rPr>
                <w:rFonts w:ascii="宋体" w:hAnsi="宋体" w:eastAsia="宋体"/>
                <w:sz w:val="16"/>
              </w:rPr>
              <w:t>会同有关部门做好有关住房保障资金安排工作</w:t>
            </w:r>
            <w:r>
              <w:rPr>
                <w:rFonts w:hint="eastAsia" w:ascii="宋体" w:hAnsi="宋体"/>
                <w:sz w:val="16"/>
                <w:lang w:eastAsia="zh-CN"/>
              </w:rPr>
              <w:t>，</w:t>
            </w:r>
            <w:r>
              <w:rPr>
                <w:rFonts w:ascii="宋体" w:hAnsi="宋体" w:eastAsia="宋体"/>
                <w:sz w:val="16"/>
              </w:rPr>
              <w:t>监督组织实施。编制住房保障发展规划和年度计划并监督实施。承担推进住房制度改革的责任。做好适合全市的住房政策，指导住房建设和住房制度改革，拟订全市住房建设规划并指导实施。</w:t>
            </w:r>
            <w:r>
              <w:rPr>
                <w:rFonts w:ascii="宋体" w:hAnsi="宋体" w:eastAsia="宋体"/>
                <w:sz w:val="16"/>
              </w:rPr>
              <w:br w:type="textWrapping"/>
            </w:r>
            <w:r>
              <w:rPr>
                <w:rFonts w:ascii="宋体" w:hAnsi="宋体" w:eastAsia="宋体"/>
                <w:sz w:val="16"/>
              </w:rPr>
              <w:t>机构设置及人员配置：无下属预算单位，下设2个科室，编制数10，实有人数10人，在职10人。</w:t>
            </w:r>
            <w:r>
              <w:rPr>
                <w:rFonts w:ascii="宋体" w:hAnsi="宋体" w:eastAsia="宋体"/>
                <w:sz w:val="16"/>
              </w:rPr>
              <w:br w:type="textWrapping"/>
            </w:r>
            <w:r>
              <w:rPr>
                <w:rFonts w:ascii="宋体" w:hAnsi="宋体" w:eastAsia="宋体"/>
                <w:sz w:val="16"/>
              </w:rPr>
              <w:t>中长期规划：强化队伍抓管理。为加强队伍建设，改进工作作风，针对干部中存在的“不严不实”的问题，制定立得住、打得通、管得好的制度，推行“三严三实”常态化、长效化。严格落实党风廉政建设责任清单，加大问责力度，坚持有错必究、有问必责，确保我中心建设制度化、规范化、提供有力保障。2024年计划实施95套公租房着重解决特困家庭、孤寡老人、新就业无房职工、低收入家庭、中低收入家庭、外来务工人员、进城落户的农牧民等住房困难问题。</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2581E1">
            <w:pPr>
              <w:jc w:val="both"/>
            </w:pPr>
            <w:r>
              <w:rPr>
                <w:rFonts w:ascii="宋体" w:hAnsi="宋体" w:eastAsia="宋体"/>
                <w:sz w:val="16"/>
              </w:rPr>
              <w:t>本单位共计支出304.98万元，用于保障部门在职10人的工资福利、各项补助正常发放及部门单位正常运转，单位预算项目根据年初计划均已完成，严格落实党风廉政建设责任清单，加大问责力度，坚持有错必究、有问必责，确保我中心建设制度化、规范化、提供有力保障，着重解决特困家庭、孤寡老人、新就业无房职工、低收入家庭、中低收入家庭、外来务工人员、进城落户的农牧民等住房困难问题，年度任务中完成公租房维修管理套数14443套，新建公租房数量95套，智能锁安装项目1个等目标。</w:t>
            </w:r>
          </w:p>
        </w:tc>
      </w:tr>
      <w:tr w14:paraId="7301E14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653C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A391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042D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C4EB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7D0C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6E09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3438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88597">
            <w:pPr>
              <w:jc w:val="center"/>
            </w:pPr>
            <w:r>
              <w:rPr>
                <w:rFonts w:ascii="宋体" w:hAnsi="宋体" w:eastAsia="宋体"/>
                <w:sz w:val="16"/>
              </w:rPr>
              <w:t>得分</w:t>
            </w:r>
          </w:p>
        </w:tc>
      </w:tr>
      <w:tr w14:paraId="18B3AD8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7416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4DD8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DE63F">
            <w:pPr>
              <w:jc w:val="center"/>
            </w:pPr>
            <w:r>
              <w:rPr>
                <w:rFonts w:ascii="宋体" w:hAnsi="宋体" w:eastAsia="宋体"/>
                <w:sz w:val="16"/>
              </w:rPr>
              <w:t>公租房维修管理套数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AD9CC">
            <w:pPr>
              <w:jc w:val="center"/>
            </w:pPr>
            <w:r>
              <w:rPr>
                <w:rFonts w:ascii="宋体" w:hAnsi="宋体" w:eastAsia="宋体"/>
                <w:sz w:val="16"/>
              </w:rPr>
              <w:t>&gt;=14879套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81F3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62F0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FA0E9">
            <w:pPr>
              <w:jc w:val="center"/>
            </w:pPr>
            <w:r>
              <w:rPr>
                <w:rFonts w:ascii="宋体" w:hAnsi="宋体" w:eastAsia="宋体"/>
                <w:sz w:val="16"/>
              </w:rPr>
              <w:t>14443套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43CE0">
            <w:pPr>
              <w:jc w:val="center"/>
            </w:pPr>
            <w:r>
              <w:rPr>
                <w:rFonts w:ascii="宋体" w:hAnsi="宋体" w:eastAsia="宋体"/>
                <w:sz w:val="16"/>
              </w:rPr>
              <w:t>17.47</w:t>
            </w:r>
          </w:p>
        </w:tc>
      </w:tr>
      <w:tr w14:paraId="501B99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EACF9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7E80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5622C">
            <w:pPr>
              <w:jc w:val="center"/>
            </w:pPr>
            <w:r>
              <w:rPr>
                <w:rFonts w:ascii="宋体" w:hAnsi="宋体" w:eastAsia="宋体"/>
                <w:sz w:val="16"/>
              </w:rPr>
              <w:t>新建公租房数量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0995D">
            <w:pPr>
              <w:jc w:val="center"/>
            </w:pPr>
            <w:r>
              <w:rPr>
                <w:rFonts w:ascii="宋体" w:hAnsi="宋体" w:eastAsia="宋体"/>
                <w:sz w:val="16"/>
              </w:rPr>
              <w:t>&gt;=95套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0F86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8FAE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39240">
            <w:pPr>
              <w:jc w:val="center"/>
            </w:pPr>
            <w:r>
              <w:rPr>
                <w:rFonts w:ascii="宋体" w:hAnsi="宋体" w:eastAsia="宋体"/>
                <w:sz w:val="16"/>
              </w:rPr>
              <w:t>95套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38A8C">
            <w:pPr>
              <w:jc w:val="center"/>
            </w:pPr>
            <w:r>
              <w:rPr>
                <w:rFonts w:ascii="宋体" w:hAnsi="宋体" w:eastAsia="宋体"/>
                <w:sz w:val="16"/>
              </w:rPr>
              <w:t>18</w:t>
            </w:r>
          </w:p>
        </w:tc>
      </w:tr>
      <w:tr w14:paraId="5B51BAA4">
        <w:tblPrEx>
          <w:tblCellMar>
            <w:top w:w="0" w:type="dxa"/>
            <w:left w:w="108" w:type="dxa"/>
            <w:bottom w:w="0" w:type="dxa"/>
            <w:right w:w="108" w:type="dxa"/>
          </w:tblCellMar>
        </w:tblPrEx>
        <w:trPr>
          <w:trHeight w:val="701"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DF09C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180A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42A90">
            <w:pPr>
              <w:jc w:val="center"/>
            </w:pPr>
            <w:r>
              <w:rPr>
                <w:rFonts w:ascii="宋体" w:hAnsi="宋体" w:eastAsia="宋体"/>
                <w:sz w:val="16"/>
              </w:rPr>
              <w:t>智能锁安装项目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25775">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96AA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CB30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5121F">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698E7">
            <w:pPr>
              <w:jc w:val="center"/>
            </w:pPr>
            <w:r>
              <w:rPr>
                <w:rFonts w:ascii="宋体" w:hAnsi="宋体" w:eastAsia="宋体"/>
                <w:sz w:val="16"/>
              </w:rPr>
              <w:t>18</w:t>
            </w:r>
          </w:p>
        </w:tc>
      </w:tr>
      <w:tr w14:paraId="48EEF5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B542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9A99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2B808">
            <w:pPr>
              <w:jc w:val="center"/>
            </w:pPr>
            <w:r>
              <w:rPr>
                <w:rFonts w:ascii="宋体" w:hAnsi="宋体" w:eastAsia="宋体"/>
                <w:sz w:val="16"/>
              </w:rPr>
              <w:t>信息化系统稳定性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C4D0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FB79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BFA8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D40C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96A25">
            <w:pPr>
              <w:jc w:val="center"/>
            </w:pPr>
            <w:r>
              <w:rPr>
                <w:rFonts w:ascii="宋体" w:hAnsi="宋体" w:eastAsia="宋体"/>
                <w:sz w:val="16"/>
              </w:rPr>
              <w:t>18</w:t>
            </w:r>
          </w:p>
        </w:tc>
      </w:tr>
      <w:tr w14:paraId="12BCAC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FFEF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D41FF">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8D120">
            <w:pPr>
              <w:jc w:val="center"/>
            </w:pPr>
            <w:r>
              <w:rPr>
                <w:rFonts w:ascii="宋体" w:hAnsi="宋体" w:eastAsia="宋体"/>
                <w:sz w:val="16"/>
              </w:rPr>
              <w:t>住房保障服务窗口日常咨询服务及时率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A5BA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70FD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D9B7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A287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6BAC9">
            <w:pPr>
              <w:jc w:val="center"/>
            </w:pPr>
            <w:r>
              <w:rPr>
                <w:rFonts w:ascii="宋体" w:hAnsi="宋体" w:eastAsia="宋体"/>
                <w:sz w:val="16"/>
              </w:rPr>
              <w:t>18</w:t>
            </w:r>
          </w:p>
        </w:tc>
      </w:tr>
    </w:tbl>
    <w:p w14:paraId="4179723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79FD3C8">
        <w:tblPrEx>
          <w:tblCellMar>
            <w:top w:w="0" w:type="dxa"/>
            <w:left w:w="108" w:type="dxa"/>
            <w:bottom w:w="0" w:type="dxa"/>
            <w:right w:w="108" w:type="dxa"/>
          </w:tblCellMar>
        </w:tblPrEx>
        <w:tc>
          <w:tcPr>
            <w:tcW w:w="8848" w:type="dxa"/>
            <w:gridSpan w:val="14"/>
            <w:vAlign w:val="center"/>
          </w:tcPr>
          <w:p w14:paraId="43E76C8B">
            <w:pPr>
              <w:jc w:val="center"/>
            </w:pPr>
            <w:r>
              <w:rPr>
                <w:rFonts w:ascii="宋体" w:hAnsi="宋体" w:eastAsia="宋体"/>
                <w:sz w:val="24"/>
              </w:rPr>
              <w:t>项目支出绩效自评表</w:t>
            </w:r>
          </w:p>
        </w:tc>
      </w:tr>
      <w:tr w14:paraId="7E08F00F">
        <w:tblPrEx>
          <w:tblCellMar>
            <w:top w:w="0" w:type="dxa"/>
            <w:left w:w="108" w:type="dxa"/>
            <w:bottom w:w="0" w:type="dxa"/>
            <w:right w:w="108" w:type="dxa"/>
          </w:tblCellMar>
        </w:tblPrEx>
        <w:tc>
          <w:tcPr>
            <w:tcW w:w="8848" w:type="dxa"/>
            <w:gridSpan w:val="14"/>
            <w:vAlign w:val="center"/>
          </w:tcPr>
          <w:p w14:paraId="17610A76">
            <w:pPr>
              <w:jc w:val="center"/>
            </w:pPr>
            <w:r>
              <w:rPr>
                <w:rFonts w:ascii="宋体" w:hAnsi="宋体" w:eastAsia="宋体"/>
                <w:sz w:val="24"/>
              </w:rPr>
              <w:t>(2024年度)</w:t>
            </w:r>
          </w:p>
        </w:tc>
      </w:tr>
      <w:tr w14:paraId="7D8586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91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3A9599">
            <w:pPr>
              <w:jc w:val="center"/>
            </w:pPr>
            <w:r>
              <w:rPr>
                <w:rFonts w:ascii="宋体" w:hAnsi="宋体" w:eastAsia="宋体"/>
                <w:sz w:val="16"/>
              </w:rPr>
              <w:t>阿图什市公租房清退房款及租金</w:t>
            </w:r>
          </w:p>
        </w:tc>
      </w:tr>
      <w:tr w14:paraId="3FF970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F90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7ABD67">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B1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4A2177">
            <w:pPr>
              <w:jc w:val="center"/>
            </w:pPr>
            <w:r>
              <w:rPr>
                <w:rFonts w:ascii="宋体" w:hAnsi="宋体" w:eastAsia="宋体"/>
                <w:sz w:val="16"/>
              </w:rPr>
              <w:t>阿图什市城镇保障性住房服务中心</w:t>
            </w:r>
          </w:p>
        </w:tc>
      </w:tr>
      <w:tr w14:paraId="2C1A16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FDD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323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700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E2F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5B0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33A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520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C5A9">
            <w:pPr>
              <w:jc w:val="center"/>
            </w:pPr>
            <w:r>
              <w:rPr>
                <w:rFonts w:ascii="宋体" w:hAnsi="宋体" w:eastAsia="宋体"/>
                <w:sz w:val="16"/>
              </w:rPr>
              <w:t>得分</w:t>
            </w:r>
          </w:p>
        </w:tc>
      </w:tr>
      <w:tr w14:paraId="1AC45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C2B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2FC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4F94B">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45419">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14723">
            <w:pPr>
              <w:jc w:val="center"/>
            </w:pPr>
            <w:r>
              <w:rPr>
                <w:rFonts w:ascii="宋体" w:hAnsi="宋体" w:eastAsia="宋体"/>
                <w:sz w:val="16"/>
              </w:rPr>
              <w:t>112.59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682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9179F">
            <w:pPr>
              <w:jc w:val="center"/>
            </w:pPr>
            <w:r>
              <w:rPr>
                <w:rFonts w:ascii="宋体" w:hAnsi="宋体" w:eastAsia="宋体"/>
                <w:sz w:val="16"/>
              </w:rPr>
              <w:t>22.5%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058B">
            <w:pPr>
              <w:jc w:val="center"/>
            </w:pPr>
            <w:r>
              <w:rPr>
                <w:rFonts w:ascii="宋体" w:hAnsi="宋体" w:eastAsia="宋体"/>
                <w:sz w:val="16"/>
              </w:rPr>
              <w:t>0.00分</w:t>
            </w:r>
          </w:p>
        </w:tc>
      </w:tr>
      <w:tr w14:paraId="38F9C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AB3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F0F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F44D3">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55DA4">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7A8CE">
            <w:pPr>
              <w:jc w:val="center"/>
            </w:pPr>
            <w:r>
              <w:rPr>
                <w:rFonts w:ascii="宋体" w:hAnsi="宋体" w:eastAsia="宋体"/>
                <w:sz w:val="16"/>
              </w:rPr>
              <w:t>112.59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139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F5A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C80D">
            <w:pPr>
              <w:jc w:val="center"/>
            </w:pPr>
            <w:r>
              <w:rPr>
                <w:rFonts w:ascii="宋体" w:hAnsi="宋体" w:eastAsia="宋体"/>
                <w:sz w:val="16"/>
              </w:rPr>
              <w:t>—</w:t>
            </w:r>
          </w:p>
        </w:tc>
      </w:tr>
      <w:tr w14:paraId="22325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552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193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4C2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E2C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A1B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FE4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F9A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03D6">
            <w:pPr>
              <w:jc w:val="center"/>
            </w:pPr>
            <w:r>
              <w:rPr>
                <w:rFonts w:ascii="宋体" w:hAnsi="宋体" w:eastAsia="宋体"/>
                <w:sz w:val="16"/>
              </w:rPr>
              <w:t>—</w:t>
            </w:r>
          </w:p>
        </w:tc>
      </w:tr>
      <w:tr w14:paraId="6BFF77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BBC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0321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44D1C4">
            <w:pPr>
              <w:jc w:val="center"/>
            </w:pPr>
            <w:r>
              <w:rPr>
                <w:rFonts w:ascii="宋体" w:hAnsi="宋体" w:eastAsia="宋体"/>
                <w:sz w:val="16"/>
              </w:rPr>
              <w:t>实际完成情况</w:t>
            </w:r>
          </w:p>
        </w:tc>
      </w:tr>
      <w:tr w14:paraId="62905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D95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924C7F">
            <w:pPr>
              <w:jc w:val="both"/>
            </w:pPr>
            <w:r>
              <w:rPr>
                <w:rFonts w:ascii="宋体" w:hAnsi="宋体" w:eastAsia="宋体"/>
                <w:sz w:val="16"/>
              </w:rPr>
              <w:t>根据自治区公租房管理办法历年卖出去的公租房改成租赁模式，项目计划投入500万元， 计划完成清退房款及</w:t>
            </w:r>
            <w:r>
              <w:rPr>
                <w:rFonts w:hint="eastAsia" w:ascii="宋体" w:hAnsi="宋体"/>
                <w:sz w:val="16"/>
                <w:lang w:eastAsia="zh-CN"/>
              </w:rPr>
              <w:t>租赁</w:t>
            </w:r>
            <w:r>
              <w:rPr>
                <w:rFonts w:ascii="宋体" w:hAnsi="宋体" w:eastAsia="宋体"/>
                <w:sz w:val="16"/>
              </w:rPr>
              <w:t xml:space="preserve">房屋500套。项目实施后进一步改善公租房管理。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EE80EC">
            <w:pPr>
              <w:jc w:val="both"/>
            </w:pPr>
            <w:r>
              <w:rPr>
                <w:rFonts w:ascii="宋体" w:hAnsi="宋体" w:eastAsia="宋体"/>
                <w:sz w:val="16"/>
              </w:rPr>
              <w:t xml:space="preserve">本项目共计支出112.5866万元，完成清退房款及租金数量142套；通过实施本项目进一步改善公租房管理。 </w:t>
            </w:r>
          </w:p>
        </w:tc>
      </w:tr>
      <w:tr w14:paraId="4AA1BD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BD21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17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E9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D5C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DF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50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B3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13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38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C8D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C3A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75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2EF0B">
            <w:pPr>
              <w:jc w:val="center"/>
            </w:pPr>
            <w:r>
              <w:rPr>
                <w:rFonts w:ascii="宋体" w:hAnsi="宋体" w:eastAsia="宋体"/>
                <w:sz w:val="16"/>
              </w:rPr>
              <w:t>偏差原因分析及改进措施</w:t>
            </w:r>
          </w:p>
        </w:tc>
      </w:tr>
      <w:tr w14:paraId="0BF663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D24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3EEF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5F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5D26">
            <w:pPr>
              <w:jc w:val="center"/>
            </w:pPr>
            <w:r>
              <w:rPr>
                <w:rFonts w:ascii="宋体" w:hAnsi="宋体" w:eastAsia="宋体"/>
                <w:sz w:val="16"/>
              </w:rPr>
              <w:t>清退房款及租金数量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83F3">
            <w:pPr>
              <w:jc w:val="center"/>
            </w:pPr>
            <w:r>
              <w:rPr>
                <w:rFonts w:ascii="宋体" w:hAnsi="宋体" w:eastAsia="宋体"/>
                <w:sz w:val="16"/>
              </w:rPr>
              <w:t>&gt;=500套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31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B8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1B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6A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C5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0AEF">
            <w:pPr>
              <w:jc w:val="center"/>
            </w:pPr>
            <w:r>
              <w:rPr>
                <w:rFonts w:ascii="宋体" w:hAnsi="宋体" w:eastAsia="宋体"/>
                <w:sz w:val="16"/>
              </w:rPr>
              <w:t>=142套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EDA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8D966">
            <w:pPr>
              <w:jc w:val="center"/>
            </w:pPr>
            <w:r>
              <w:rPr>
                <w:rFonts w:ascii="宋体" w:hAnsi="宋体" w:eastAsia="宋体"/>
                <w:sz w:val="16"/>
              </w:rPr>
              <w:t>原因：根据实际申请退款的居民户数完成，因此偏低；措施：后期将会持续执行项目，提高预算执行率。</w:t>
            </w:r>
          </w:p>
        </w:tc>
      </w:tr>
      <w:tr w14:paraId="4699F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B3A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001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7F6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3036">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0A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C4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B0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30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4F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F9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E236">
            <w:pPr>
              <w:jc w:val="center"/>
            </w:pPr>
            <w:r>
              <w:rPr>
                <w:rFonts w:ascii="宋体" w:hAnsi="宋体" w:eastAsia="宋体"/>
                <w:sz w:val="16"/>
              </w:rPr>
              <w:t>=28.4%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36B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0A914">
            <w:pPr>
              <w:jc w:val="center"/>
            </w:pPr>
            <w:r>
              <w:rPr>
                <w:rFonts w:ascii="宋体" w:hAnsi="宋体" w:eastAsia="宋体"/>
                <w:sz w:val="16"/>
              </w:rPr>
              <w:t>原因：根据实际申请退款的居民户数完成，因此偏低；措施：后期将会持续执行项目，提高预算执行率。</w:t>
            </w:r>
          </w:p>
        </w:tc>
      </w:tr>
      <w:tr w14:paraId="3B48DB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A0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F64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BF1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F98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8F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83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35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29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9B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25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7755">
            <w:pPr>
              <w:jc w:val="center"/>
            </w:pPr>
            <w:r>
              <w:rPr>
                <w:rFonts w:ascii="宋体" w:hAnsi="宋体" w:eastAsia="宋体"/>
                <w:sz w:val="16"/>
              </w:rPr>
              <w:t>=22.5%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C6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CC980">
            <w:pPr>
              <w:jc w:val="center"/>
            </w:pPr>
            <w:r>
              <w:rPr>
                <w:rFonts w:ascii="宋体" w:hAnsi="宋体" w:eastAsia="宋体"/>
                <w:sz w:val="16"/>
              </w:rPr>
              <w:t>原因：根据实际申请退款的居民户数完成，因此偏低；措施：后期将会持续执行项目，提高预算执行率。</w:t>
            </w:r>
          </w:p>
        </w:tc>
      </w:tr>
      <w:tr w14:paraId="38308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78B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334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4E7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5E2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52A1">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6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34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FD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46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00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08E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43F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23FF1">
            <w:pPr>
              <w:jc w:val="center"/>
            </w:pPr>
          </w:p>
        </w:tc>
      </w:tr>
      <w:tr w14:paraId="1DFC5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A3C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76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62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85A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5C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0E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D0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34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85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8D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36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64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760B8">
            <w:pPr>
              <w:jc w:val="center"/>
            </w:pPr>
            <w:r>
              <w:rPr>
                <w:rFonts w:ascii="宋体" w:hAnsi="宋体" w:eastAsia="宋体"/>
                <w:sz w:val="16"/>
              </w:rPr>
              <w:t>原因：根据实际申请退款的居民户数完成，因此偏低；措施：后期将会持续执行项目，提高预算执行率。</w:t>
            </w:r>
          </w:p>
        </w:tc>
      </w:tr>
      <w:tr w14:paraId="42DE07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E0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90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88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937D">
            <w:pPr>
              <w:jc w:val="center"/>
            </w:pPr>
            <w:r>
              <w:rPr>
                <w:rFonts w:ascii="宋体" w:hAnsi="宋体" w:eastAsia="宋体"/>
                <w:sz w:val="16"/>
              </w:rPr>
              <w:t>清退房款及租金费用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ABDF">
            <w:pPr>
              <w:jc w:val="center"/>
            </w:pPr>
            <w:r>
              <w:rPr>
                <w:rFonts w:ascii="宋体" w:hAnsi="宋体" w:eastAsia="宋体"/>
                <w:sz w:val="16"/>
              </w:rPr>
              <w:t>&lt;=1万元/套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B1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85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1A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6B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D6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3380">
            <w:pPr>
              <w:jc w:val="center"/>
            </w:pPr>
            <w:r>
              <w:rPr>
                <w:rFonts w:ascii="宋体" w:hAnsi="宋体" w:eastAsia="宋体"/>
                <w:sz w:val="16"/>
              </w:rPr>
              <w:t>=1万元/套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46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65D99">
            <w:pPr>
              <w:jc w:val="center"/>
            </w:pPr>
            <w:r>
              <w:rPr>
                <w:rFonts w:ascii="宋体" w:hAnsi="宋体" w:eastAsia="宋体"/>
                <w:sz w:val="16"/>
              </w:rPr>
              <w:t>原因：根据实际申请退款的居民户数完成，因此偏低；措施：后期将会持续执行项目，提高预算执行率。</w:t>
            </w:r>
          </w:p>
        </w:tc>
      </w:tr>
      <w:tr w14:paraId="1C5A2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00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87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C0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B0F4">
            <w:pPr>
              <w:jc w:val="center"/>
            </w:pPr>
            <w:r>
              <w:rPr>
                <w:rFonts w:ascii="宋体" w:hAnsi="宋体" w:eastAsia="宋体"/>
                <w:sz w:val="16"/>
              </w:rPr>
              <w:t>持续为人民群众服务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14E0">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F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A6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E82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B7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48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AEBD">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83D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0EAE3">
            <w:pPr>
              <w:jc w:val="center"/>
            </w:pPr>
          </w:p>
        </w:tc>
      </w:tr>
      <w:tr w14:paraId="0DE49C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45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8C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61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8355">
            <w:pPr>
              <w:jc w:val="center"/>
            </w:pPr>
            <w:r>
              <w:rPr>
                <w:rFonts w:ascii="宋体" w:hAnsi="宋体" w:eastAsia="宋体"/>
                <w:sz w:val="16"/>
              </w:rPr>
              <w:t>社会群众满意度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5A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E9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AC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9E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A4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3C6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81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F4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F7EB6">
            <w:pPr>
              <w:jc w:val="center"/>
            </w:pPr>
          </w:p>
        </w:tc>
      </w:tr>
      <w:tr w14:paraId="495DDC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704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1DC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4869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A94B">
            <w:pPr>
              <w:jc w:val="center"/>
            </w:pPr>
            <w:r>
              <w:rPr>
                <w:rFonts w:ascii="宋体" w:hAnsi="宋体" w:eastAsia="宋体"/>
                <w:sz w:val="16"/>
              </w:rPr>
              <w:t>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9E49FD"/>
        </w:tc>
      </w:tr>
    </w:tbl>
    <w:p w14:paraId="2CBE96E5">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20"/>
        <w:gridCol w:w="936"/>
        <w:gridCol w:w="609"/>
        <w:gridCol w:w="606"/>
        <w:gridCol w:w="611"/>
        <w:gridCol w:w="601"/>
        <w:gridCol w:w="601"/>
        <w:gridCol w:w="856"/>
        <w:gridCol w:w="615"/>
        <w:gridCol w:w="562"/>
        <w:gridCol w:w="621"/>
      </w:tblGrid>
      <w:tr w14:paraId="3C7AE9B6">
        <w:tblPrEx>
          <w:tblCellMar>
            <w:top w:w="0" w:type="dxa"/>
            <w:left w:w="108" w:type="dxa"/>
            <w:bottom w:w="0" w:type="dxa"/>
            <w:right w:w="108" w:type="dxa"/>
          </w:tblCellMar>
        </w:tblPrEx>
        <w:tc>
          <w:tcPr>
            <w:tcW w:w="8848" w:type="dxa"/>
            <w:gridSpan w:val="14"/>
            <w:vAlign w:val="center"/>
          </w:tcPr>
          <w:p w14:paraId="15870B1C">
            <w:pPr>
              <w:jc w:val="center"/>
            </w:pPr>
            <w:r>
              <w:rPr>
                <w:rFonts w:ascii="宋体" w:hAnsi="宋体" w:eastAsia="宋体"/>
                <w:sz w:val="24"/>
              </w:rPr>
              <w:t>项目支出绩效自评表</w:t>
            </w:r>
          </w:p>
        </w:tc>
      </w:tr>
      <w:tr w14:paraId="7D7FDD13">
        <w:tblPrEx>
          <w:tblCellMar>
            <w:top w:w="0" w:type="dxa"/>
            <w:left w:w="108" w:type="dxa"/>
            <w:bottom w:w="0" w:type="dxa"/>
            <w:right w:w="108" w:type="dxa"/>
          </w:tblCellMar>
        </w:tblPrEx>
        <w:tc>
          <w:tcPr>
            <w:tcW w:w="8848" w:type="dxa"/>
            <w:gridSpan w:val="14"/>
            <w:vAlign w:val="center"/>
          </w:tcPr>
          <w:p w14:paraId="07578345">
            <w:pPr>
              <w:jc w:val="center"/>
            </w:pPr>
            <w:r>
              <w:rPr>
                <w:rFonts w:ascii="宋体" w:hAnsi="宋体" w:eastAsia="宋体"/>
                <w:sz w:val="24"/>
              </w:rPr>
              <w:t>(2024年度)</w:t>
            </w:r>
          </w:p>
        </w:tc>
      </w:tr>
      <w:tr w14:paraId="4AA8ED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36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A3EFF1">
            <w:pPr>
              <w:jc w:val="center"/>
            </w:pPr>
            <w:r>
              <w:rPr>
                <w:rFonts w:ascii="宋体" w:hAnsi="宋体" w:eastAsia="宋体"/>
                <w:sz w:val="16"/>
              </w:rPr>
              <w:t>阿图什市公租房维修、维护、管理及智能锁采购项目</w:t>
            </w:r>
          </w:p>
        </w:tc>
      </w:tr>
      <w:tr w14:paraId="0B9733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72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A6BCA7">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94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19864C">
            <w:pPr>
              <w:jc w:val="center"/>
            </w:pPr>
            <w:r>
              <w:rPr>
                <w:rFonts w:ascii="宋体" w:hAnsi="宋体" w:eastAsia="宋体"/>
                <w:sz w:val="16"/>
              </w:rPr>
              <w:t>阿图什市城镇保障性住房服务中心</w:t>
            </w:r>
          </w:p>
        </w:tc>
      </w:tr>
      <w:tr w14:paraId="0843F6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F0B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D0B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575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4EB2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499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242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B68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60B2">
            <w:pPr>
              <w:jc w:val="center"/>
            </w:pPr>
            <w:r>
              <w:rPr>
                <w:rFonts w:ascii="宋体" w:hAnsi="宋体" w:eastAsia="宋体"/>
                <w:sz w:val="16"/>
              </w:rPr>
              <w:t>得分</w:t>
            </w:r>
          </w:p>
        </w:tc>
      </w:tr>
      <w:tr w14:paraId="1CCE9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5CF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F2A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31739">
            <w:pPr>
              <w:jc w:val="center"/>
            </w:pPr>
            <w:r>
              <w:rPr>
                <w:rFonts w:ascii="宋体" w:hAnsi="宋体" w:eastAsia="宋体"/>
                <w:sz w:val="16"/>
              </w:rPr>
              <w:t>2,106.00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566C0">
            <w:pPr>
              <w:jc w:val="center"/>
            </w:pPr>
            <w:r>
              <w:rPr>
                <w:rFonts w:ascii="宋体" w:hAnsi="宋体" w:eastAsia="宋体"/>
                <w:sz w:val="16"/>
              </w:rPr>
              <w:t>2,106.00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42DE5">
            <w:pPr>
              <w:jc w:val="center"/>
            </w:pPr>
            <w:r>
              <w:rPr>
                <w:rFonts w:ascii="宋体" w:hAnsi="宋体" w:eastAsia="宋体"/>
                <w:sz w:val="16"/>
              </w:rPr>
              <w:t>43.44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D78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DFBEA">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14FC">
            <w:pPr>
              <w:jc w:val="center"/>
            </w:pPr>
            <w:r>
              <w:rPr>
                <w:rFonts w:ascii="宋体" w:hAnsi="宋体" w:eastAsia="宋体"/>
                <w:sz w:val="16"/>
              </w:rPr>
              <w:t>0.00分</w:t>
            </w:r>
          </w:p>
        </w:tc>
      </w:tr>
      <w:tr w14:paraId="5FFEF1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938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B2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7CD0E">
            <w:pPr>
              <w:jc w:val="center"/>
            </w:pPr>
            <w:r>
              <w:rPr>
                <w:rFonts w:ascii="宋体" w:hAnsi="宋体" w:eastAsia="宋体"/>
                <w:sz w:val="16"/>
              </w:rPr>
              <w:t>2,106.00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E6F21">
            <w:pPr>
              <w:jc w:val="center"/>
            </w:pPr>
            <w:r>
              <w:rPr>
                <w:rFonts w:ascii="宋体" w:hAnsi="宋体" w:eastAsia="宋体"/>
                <w:sz w:val="16"/>
              </w:rPr>
              <w:t>2,106.00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DF112">
            <w:pPr>
              <w:jc w:val="center"/>
            </w:pPr>
            <w:r>
              <w:rPr>
                <w:rFonts w:ascii="宋体" w:hAnsi="宋体" w:eastAsia="宋体"/>
                <w:sz w:val="16"/>
              </w:rPr>
              <w:t>43.44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F94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80F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F0BA">
            <w:pPr>
              <w:jc w:val="center"/>
            </w:pPr>
            <w:r>
              <w:rPr>
                <w:rFonts w:ascii="宋体" w:hAnsi="宋体" w:eastAsia="宋体"/>
                <w:sz w:val="16"/>
              </w:rPr>
              <w:t>—</w:t>
            </w:r>
          </w:p>
        </w:tc>
      </w:tr>
      <w:tr w14:paraId="01392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BB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409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033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01B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F4C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0AC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C37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FE54">
            <w:pPr>
              <w:jc w:val="center"/>
            </w:pPr>
            <w:r>
              <w:rPr>
                <w:rFonts w:ascii="宋体" w:hAnsi="宋体" w:eastAsia="宋体"/>
                <w:sz w:val="16"/>
              </w:rPr>
              <w:t>—</w:t>
            </w:r>
          </w:p>
        </w:tc>
      </w:tr>
      <w:tr w14:paraId="565F56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CD73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2E9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90F411">
            <w:pPr>
              <w:jc w:val="center"/>
            </w:pPr>
            <w:r>
              <w:rPr>
                <w:rFonts w:ascii="宋体" w:hAnsi="宋体" w:eastAsia="宋体"/>
                <w:sz w:val="16"/>
              </w:rPr>
              <w:t>实际完成情况</w:t>
            </w:r>
          </w:p>
        </w:tc>
      </w:tr>
      <w:tr w14:paraId="4AE60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28D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C9F084">
            <w:pPr>
              <w:jc w:val="both"/>
            </w:pPr>
            <w:r>
              <w:rPr>
                <w:rFonts w:ascii="宋体" w:hAnsi="宋体" w:eastAsia="宋体"/>
                <w:sz w:val="16"/>
              </w:rPr>
              <w:t>根据《新疆维吾尔自治区公租房管理办法》，安排项目资金500万元，为进一步提高我市公租房运行及管理水平，开展保障性住房维修，维护管理和运营1756.96万元，涉及小区9个，采购电子锁5000个；通过项目的实施，确保公租房正常运转，提高安全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BAA5F1">
            <w:pPr>
              <w:jc w:val="both"/>
            </w:pPr>
            <w:r>
              <w:rPr>
                <w:rFonts w:ascii="宋体" w:hAnsi="宋体" w:eastAsia="宋体"/>
                <w:sz w:val="16"/>
              </w:rPr>
              <w:t>本项目共计支出43.4379万元，用于保障性住房维修、维护小区数量9个，智能锁采购数量733个；通过实施本项目确保公租房正常运转，提高安全性。</w:t>
            </w:r>
          </w:p>
        </w:tc>
      </w:tr>
      <w:tr w14:paraId="76FEFA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52A4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71C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D7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AC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4F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22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FD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36F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01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7F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6D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8CB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E76D4">
            <w:pPr>
              <w:jc w:val="center"/>
            </w:pPr>
            <w:r>
              <w:rPr>
                <w:rFonts w:ascii="宋体" w:hAnsi="宋体" w:eastAsia="宋体"/>
                <w:sz w:val="16"/>
              </w:rPr>
              <w:t>偏差原因分析及改进措施</w:t>
            </w:r>
          </w:p>
        </w:tc>
      </w:tr>
      <w:tr w14:paraId="716F9A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3AA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A1E2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145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7925">
            <w:pPr>
              <w:jc w:val="center"/>
            </w:pPr>
            <w:r>
              <w:rPr>
                <w:rFonts w:ascii="宋体" w:hAnsi="宋体" w:eastAsia="宋体"/>
                <w:sz w:val="16"/>
              </w:rPr>
              <w:t>保障性住房维修、维护小区数量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C7A2">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EF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B7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3E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23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A6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27BD">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1D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881D1">
            <w:pPr>
              <w:jc w:val="center"/>
            </w:pPr>
          </w:p>
        </w:tc>
      </w:tr>
      <w:tr w14:paraId="388F3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E98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4AF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4F7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2859E">
            <w:pPr>
              <w:jc w:val="center"/>
            </w:pPr>
            <w:r>
              <w:rPr>
                <w:rFonts w:ascii="宋体" w:hAnsi="宋体" w:eastAsia="宋体"/>
                <w:sz w:val="16"/>
              </w:rPr>
              <w:t>智能锁采购数量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3F01F">
            <w:pPr>
              <w:jc w:val="center"/>
            </w:pPr>
            <w:r>
              <w:rPr>
                <w:rFonts w:ascii="宋体" w:hAnsi="宋体" w:eastAsia="宋体"/>
                <w:sz w:val="16"/>
              </w:rPr>
              <w:t>&gt;=5000个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A4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C6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5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05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F2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76A7">
            <w:pPr>
              <w:jc w:val="center"/>
            </w:pPr>
            <w:r>
              <w:rPr>
                <w:rFonts w:ascii="宋体" w:hAnsi="宋体" w:eastAsia="宋体"/>
                <w:sz w:val="16"/>
              </w:rPr>
              <w:t>=733个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E2B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9DF52">
            <w:pPr>
              <w:jc w:val="center"/>
            </w:pPr>
            <w:r>
              <w:rPr>
                <w:rFonts w:ascii="宋体" w:hAnsi="宋体" w:eastAsia="宋体"/>
                <w:sz w:val="16"/>
              </w:rPr>
              <w:t>原因：根据实际情况进行采购，剩余物品于2025年进行采购；措施：加快项目进度，减少偏差。</w:t>
            </w:r>
          </w:p>
        </w:tc>
      </w:tr>
      <w:tr w14:paraId="7B700C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EED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B7D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C2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E9EF">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AF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2D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D9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78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5A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44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2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0E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0667F">
            <w:pPr>
              <w:jc w:val="center"/>
            </w:pPr>
            <w:r>
              <w:rPr>
                <w:rFonts w:ascii="宋体" w:hAnsi="宋体" w:eastAsia="宋体"/>
                <w:sz w:val="16"/>
              </w:rPr>
              <w:t>原因：根据实际情况进行采购，剩余物品于2025年进行采购；措施：加快项目进度，减少偏差。</w:t>
            </w:r>
          </w:p>
        </w:tc>
      </w:tr>
      <w:tr w14:paraId="1DFA0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EA3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612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FA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542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976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A51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77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20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DD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F0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230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94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1F3AD">
            <w:pPr>
              <w:jc w:val="center"/>
            </w:pPr>
          </w:p>
        </w:tc>
      </w:tr>
      <w:tr w14:paraId="60B76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2D2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816B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85F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3C07">
            <w:pPr>
              <w:jc w:val="center"/>
            </w:pPr>
            <w:r>
              <w:rPr>
                <w:rFonts w:ascii="宋体" w:hAnsi="宋体" w:eastAsia="宋体"/>
                <w:sz w:val="16"/>
              </w:rPr>
              <w:t>保障性住房维修、维护成本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F0BF">
            <w:pPr>
              <w:jc w:val="center"/>
            </w:pPr>
            <w:r>
              <w:rPr>
                <w:rFonts w:ascii="宋体" w:hAnsi="宋体" w:eastAsia="宋体"/>
                <w:sz w:val="16"/>
              </w:rPr>
              <w:t>&lt;=1756.96万元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1E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AE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86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88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8A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CF1F">
            <w:pPr>
              <w:jc w:val="center"/>
            </w:pPr>
            <w:r>
              <w:rPr>
                <w:rFonts w:ascii="宋体" w:hAnsi="宋体" w:eastAsia="宋体"/>
                <w:sz w:val="16"/>
              </w:rPr>
              <w:t>=43.4379万元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93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FADA7">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5B90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130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789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E1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0933">
            <w:pPr>
              <w:jc w:val="center"/>
            </w:pPr>
            <w:r>
              <w:rPr>
                <w:rFonts w:ascii="宋体" w:hAnsi="宋体" w:eastAsia="宋体"/>
                <w:sz w:val="16"/>
              </w:rPr>
              <w:t>智能锁采购成本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D3DA3">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C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45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51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96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21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9DB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8D5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F4741">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9A2C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FC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080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D8E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CF93">
            <w:pPr>
              <w:jc w:val="center"/>
            </w:pPr>
            <w:r>
              <w:rPr>
                <w:rFonts w:ascii="宋体" w:hAnsi="宋体" w:eastAsia="宋体"/>
                <w:sz w:val="16"/>
              </w:rPr>
              <w:t>持续为人民群众服务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6075">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7F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C7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9A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91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48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505B">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4E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445E1">
            <w:pPr>
              <w:jc w:val="center"/>
            </w:pPr>
          </w:p>
        </w:tc>
      </w:tr>
      <w:tr w14:paraId="29E0AC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F82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80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A9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EB05">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025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ED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63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FF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32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119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CD0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46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C0681">
            <w:pPr>
              <w:jc w:val="center"/>
            </w:pPr>
          </w:p>
        </w:tc>
      </w:tr>
      <w:tr w14:paraId="05E1C9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8623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28B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8C2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8953">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0BEDCF"/>
        </w:tc>
      </w:tr>
    </w:tbl>
    <w:p w14:paraId="21149F32">
      <w:r>
        <w:br w:type="page"/>
      </w:r>
    </w:p>
    <w:p w14:paraId="39EDD584">
      <w:pPr>
        <w:spacing w:line="640" w:lineRule="exact"/>
        <w:ind w:firstLine="640"/>
        <w:jc w:val="both"/>
        <w:outlineLvl w:val="2"/>
      </w:pPr>
      <w:r>
        <w:rPr>
          <w:rFonts w:ascii="黑体" w:hAnsi="黑体" w:eastAsia="黑体"/>
          <w:sz w:val="32"/>
        </w:rPr>
        <w:t>十二、其他需说明的事项</w:t>
      </w:r>
    </w:p>
    <w:p w14:paraId="2BF4BDFC">
      <w:pPr>
        <w:spacing w:line="580" w:lineRule="exact"/>
        <w:ind w:firstLine="640"/>
        <w:jc w:val="both"/>
      </w:pPr>
      <w:r>
        <w:rPr>
          <w:rFonts w:ascii="仿宋_GB2312" w:hAnsi="仿宋_GB2312" w:eastAsia="仿宋_GB2312"/>
          <w:b w:val="0"/>
          <w:sz w:val="32"/>
        </w:rPr>
        <w:t>本单位无其他需说明的事项。</w:t>
      </w:r>
    </w:p>
    <w:p w14:paraId="008F8144">
      <w:r>
        <w:br w:type="page"/>
      </w:r>
    </w:p>
    <w:p w14:paraId="7450CE62">
      <w:pPr>
        <w:spacing w:line="240" w:lineRule="auto"/>
        <w:jc w:val="center"/>
        <w:outlineLvl w:val="1"/>
      </w:pPr>
      <w:r>
        <w:rPr>
          <w:rFonts w:ascii="黑体" w:hAnsi="黑体" w:eastAsia="黑体"/>
          <w:sz w:val="32"/>
        </w:rPr>
        <w:t>第三部分 专业名词解释</w:t>
      </w:r>
    </w:p>
    <w:p w14:paraId="241EBF5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F4BFB7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A35553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81C800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6D8792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C90F65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710264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F382B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67069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9F1293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411524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B73913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BE61CD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E6CBA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0383316">
      <w:r>
        <w:br w:type="page"/>
      </w:r>
    </w:p>
    <w:p w14:paraId="7B38D07F">
      <w:pPr>
        <w:spacing w:line="240" w:lineRule="auto"/>
        <w:jc w:val="center"/>
        <w:outlineLvl w:val="1"/>
      </w:pPr>
      <w:r>
        <w:rPr>
          <w:rFonts w:ascii="黑体" w:hAnsi="黑体" w:eastAsia="黑体"/>
          <w:sz w:val="32"/>
        </w:rPr>
        <w:t>第四部分 部门决算报表（见附表）</w:t>
      </w:r>
    </w:p>
    <w:p w14:paraId="4A654EBD">
      <w:pPr>
        <w:spacing w:line="240" w:lineRule="auto"/>
        <w:ind w:firstLine="640"/>
        <w:jc w:val="both"/>
      </w:pPr>
      <w:r>
        <w:rPr>
          <w:rFonts w:ascii="仿宋_GB2312" w:hAnsi="仿宋_GB2312" w:eastAsia="仿宋_GB2312"/>
          <w:b w:val="0"/>
          <w:sz w:val="32"/>
        </w:rPr>
        <w:t>一、《收入支出决算总表》</w:t>
      </w:r>
    </w:p>
    <w:p w14:paraId="39E1461B">
      <w:pPr>
        <w:spacing w:line="240" w:lineRule="auto"/>
        <w:ind w:firstLine="640"/>
        <w:jc w:val="both"/>
      </w:pPr>
      <w:r>
        <w:rPr>
          <w:rFonts w:ascii="仿宋_GB2312" w:hAnsi="仿宋_GB2312" w:eastAsia="仿宋_GB2312"/>
          <w:b w:val="0"/>
          <w:sz w:val="32"/>
        </w:rPr>
        <w:t>二、《收入决算表》</w:t>
      </w:r>
    </w:p>
    <w:p w14:paraId="4AB35639">
      <w:pPr>
        <w:spacing w:line="240" w:lineRule="auto"/>
        <w:ind w:firstLine="640"/>
        <w:jc w:val="both"/>
      </w:pPr>
      <w:r>
        <w:rPr>
          <w:rFonts w:ascii="仿宋_GB2312" w:hAnsi="仿宋_GB2312" w:eastAsia="仿宋_GB2312"/>
          <w:b w:val="0"/>
          <w:sz w:val="32"/>
        </w:rPr>
        <w:t>三、《支出决算表》</w:t>
      </w:r>
    </w:p>
    <w:p w14:paraId="2B19B13F">
      <w:pPr>
        <w:spacing w:line="240" w:lineRule="auto"/>
        <w:ind w:firstLine="640"/>
        <w:jc w:val="both"/>
      </w:pPr>
      <w:r>
        <w:rPr>
          <w:rFonts w:ascii="仿宋_GB2312" w:hAnsi="仿宋_GB2312" w:eastAsia="仿宋_GB2312"/>
          <w:b w:val="0"/>
          <w:sz w:val="32"/>
        </w:rPr>
        <w:t>四、《财政拨款收入支出决算总表》</w:t>
      </w:r>
    </w:p>
    <w:p w14:paraId="7661EE62">
      <w:pPr>
        <w:spacing w:line="240" w:lineRule="auto"/>
        <w:ind w:firstLine="640"/>
        <w:jc w:val="both"/>
      </w:pPr>
      <w:r>
        <w:rPr>
          <w:rFonts w:ascii="仿宋_GB2312" w:hAnsi="仿宋_GB2312" w:eastAsia="仿宋_GB2312"/>
          <w:b w:val="0"/>
          <w:sz w:val="32"/>
        </w:rPr>
        <w:t>五、《一般公共预算财政拨款支出决算表》</w:t>
      </w:r>
    </w:p>
    <w:p w14:paraId="5D88315B">
      <w:pPr>
        <w:spacing w:line="240" w:lineRule="auto"/>
        <w:ind w:firstLine="640"/>
        <w:jc w:val="both"/>
      </w:pPr>
      <w:r>
        <w:rPr>
          <w:rFonts w:ascii="仿宋_GB2312" w:hAnsi="仿宋_GB2312" w:eastAsia="仿宋_GB2312"/>
          <w:b w:val="0"/>
          <w:sz w:val="32"/>
        </w:rPr>
        <w:t>六、《一般公共预算财政拨款基本支出决算表》</w:t>
      </w:r>
    </w:p>
    <w:p w14:paraId="53570CD3">
      <w:pPr>
        <w:spacing w:line="240" w:lineRule="auto"/>
        <w:ind w:firstLine="640"/>
        <w:jc w:val="both"/>
      </w:pPr>
      <w:r>
        <w:rPr>
          <w:rFonts w:ascii="仿宋_GB2312" w:hAnsi="仿宋_GB2312" w:eastAsia="仿宋_GB2312"/>
          <w:b w:val="0"/>
          <w:sz w:val="32"/>
        </w:rPr>
        <w:t>七、《政府性基金预算财政拨款收入支出决算表》</w:t>
      </w:r>
    </w:p>
    <w:p w14:paraId="2C0E1E08">
      <w:pPr>
        <w:spacing w:line="240" w:lineRule="auto"/>
        <w:ind w:firstLine="640"/>
        <w:jc w:val="both"/>
      </w:pPr>
      <w:r>
        <w:rPr>
          <w:rFonts w:ascii="仿宋_GB2312" w:hAnsi="仿宋_GB2312" w:eastAsia="仿宋_GB2312"/>
          <w:b w:val="0"/>
          <w:sz w:val="32"/>
        </w:rPr>
        <w:t>八、《国有资本经营预算财政拨款收入支出决算表》</w:t>
      </w:r>
    </w:p>
    <w:p w14:paraId="2B4673A7">
      <w:pPr>
        <w:spacing w:line="240" w:lineRule="auto"/>
        <w:ind w:firstLine="640"/>
        <w:jc w:val="both"/>
      </w:pPr>
      <w:r>
        <w:rPr>
          <w:rFonts w:ascii="仿宋_GB2312" w:hAnsi="仿宋_GB2312" w:eastAsia="仿宋_GB2312"/>
          <w:b w:val="0"/>
          <w:sz w:val="32"/>
        </w:rPr>
        <w:t>九、《财政拨款“三公”经费支出决算表》</w:t>
      </w:r>
    </w:p>
    <w:p w14:paraId="6A107D5C">
      <w:pPr>
        <w:spacing w:line="240" w:lineRule="auto"/>
        <w:ind w:firstLine="640"/>
        <w:jc w:val="both"/>
      </w:pPr>
    </w:p>
    <w:p w14:paraId="17149671">
      <w:pPr>
        <w:spacing w:line="240" w:lineRule="auto"/>
        <w:ind w:firstLine="640"/>
        <w:jc w:val="both"/>
      </w:pPr>
    </w:p>
    <w:p w14:paraId="24A55FB9">
      <w:pPr>
        <w:spacing w:line="240" w:lineRule="auto"/>
        <w:ind w:firstLine="640"/>
        <w:jc w:val="both"/>
      </w:pPr>
    </w:p>
    <w:p w14:paraId="5BA914F1">
      <w:pPr>
        <w:spacing w:line="240" w:lineRule="auto"/>
        <w:ind w:firstLine="640"/>
        <w:jc w:val="both"/>
      </w:pPr>
    </w:p>
    <w:p w14:paraId="2CFDC36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E59D8C-E888-4066-BC60-9D6A3631E1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7BF4074-1161-4394-9F80-8C906A81EE16}"/>
  </w:font>
  <w:font w:name="仿宋_GB2312">
    <w:panose1 w:val="02010609030101010101"/>
    <w:charset w:val="86"/>
    <w:family w:val="modern"/>
    <w:pitch w:val="default"/>
    <w:sig w:usb0="00000001" w:usb1="080E0000" w:usb2="00000000" w:usb3="00000000" w:csb0="00040000" w:csb1="00000000"/>
    <w:embedRegular r:id="rId3" w:fontKey="{50CBB958-93D3-4E5B-BD74-919CBE3B86CE}"/>
  </w:font>
  <w:font w:name="楷体_GB2312">
    <w:altName w:val="楷体"/>
    <w:panose1 w:val="00000000000000000000"/>
    <w:charset w:val="00"/>
    <w:family w:val="auto"/>
    <w:pitch w:val="default"/>
    <w:sig w:usb0="00000000" w:usb1="00000000" w:usb2="00000000" w:usb3="00000000" w:csb0="00000000" w:csb1="00000000"/>
    <w:embedRegular r:id="rId4" w:fontKey="{49CC5B15-EA91-41D4-82A1-B3F500C092F8}"/>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4E21C7"/>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FA2F60"/>
    <w:rsid w:val="2D1136DF"/>
    <w:rsid w:val="2DAE0E44"/>
    <w:rsid w:val="2F231865"/>
    <w:rsid w:val="2FD27414"/>
    <w:rsid w:val="313F1D52"/>
    <w:rsid w:val="318029AB"/>
    <w:rsid w:val="31C63837"/>
    <w:rsid w:val="326F0A17"/>
    <w:rsid w:val="3277581B"/>
    <w:rsid w:val="38006E2C"/>
    <w:rsid w:val="3914510A"/>
    <w:rsid w:val="3B1220C9"/>
    <w:rsid w:val="3D5275AC"/>
    <w:rsid w:val="3EA7725F"/>
    <w:rsid w:val="3EC014A1"/>
    <w:rsid w:val="3F3C23E9"/>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4876</Words>
  <Characters>5619</Characters>
  <Lines>0</Lines>
  <Paragraphs>0</Paragraphs>
  <TotalTime>4</TotalTime>
  <ScaleCrop>false</ScaleCrop>
  <LinksUpToDate>false</LinksUpToDate>
  <CharactersWithSpaces>5627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2025-09-08T07:48:54Z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