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阿图什市城镇保障性住房服务中心</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1.组织编制住房保障发展规划，实施细则，规范住房保障工作程序，拟定全市住房保障管理措施，制度和年度计划并组织实施。</w:t>
      </w:r>
    </w:p>
    <w:p>
      <w:pPr>
        <w:spacing w:line="580" w:lineRule="exact"/>
        <w:ind w:firstLine="640"/>
        <w:jc w:val="both"/>
      </w:pPr>
      <w:r>
        <w:rPr>
          <w:rFonts w:ascii="仿宋_GB2312" w:hAnsi="仿宋_GB2312" w:eastAsia="仿宋_GB2312"/>
          <w:sz w:val="32"/>
        </w:rPr>
        <w:t>2.负责全市保障性住房建设和监督工作，建立规范的资金筹措和管理制度，协调争取上级住房保障补助资金。</w:t>
      </w:r>
    </w:p>
    <w:p>
      <w:pPr>
        <w:spacing w:line="580" w:lineRule="exact"/>
        <w:ind w:firstLine="640"/>
        <w:jc w:val="both"/>
      </w:pPr>
      <w:r>
        <w:rPr>
          <w:rFonts w:ascii="仿宋_GB2312" w:hAnsi="仿宋_GB2312" w:eastAsia="仿宋_GB2312"/>
          <w:sz w:val="32"/>
        </w:rPr>
        <w:t>3.</w:t>
      </w:r>
      <w:r>
        <w:rPr>
          <w:rFonts w:hint="eastAsia" w:ascii="仿宋_GB2312" w:hAnsi="仿宋_GB2312" w:eastAsia="仿宋_GB2312"/>
          <w:sz w:val="32"/>
          <w:lang w:eastAsia="zh-CN"/>
        </w:rPr>
        <w:t>指导开展</w:t>
      </w:r>
      <w:r>
        <w:rPr>
          <w:rFonts w:ascii="仿宋_GB2312" w:hAnsi="仿宋_GB2312" w:eastAsia="仿宋_GB2312"/>
          <w:sz w:val="32"/>
        </w:rPr>
        <w:t>保障对象的入户调查，初审，公示，建档等日常工作。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阿图什市城镇保障性住房服务中心2024年度，实有人数10人，其中：在职人员10人，增加0人；离休人员0人，增加0人；退休人员0人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阿图什市城镇保障性住房服务中心无下属预算单位，下设2个科室，分别是：综合业务科、综合办公室。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2024年度收入总计304.98万元，</w:t>
      </w:r>
      <w:r>
        <w:rPr>
          <w:rFonts w:ascii="仿宋_GB2312" w:hAnsi="仿宋_GB2312" w:eastAsia="仿宋_GB2312"/>
          <w:b w:val="0"/>
          <w:sz w:val="32"/>
        </w:rPr>
        <w:t>其中：本年收入合计304.98万元，使用非财政拨款结余（含专用结余）0.00万元，年初结转和结余0.00万元。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2024年度支出总计304.98万元，</w:t>
      </w:r>
      <w:r>
        <w:rPr>
          <w:rFonts w:ascii="仿宋_GB2312" w:hAnsi="仿宋_GB2312" w:eastAsia="仿宋_GB2312"/>
          <w:b w:val="0"/>
          <w:sz w:val="32"/>
        </w:rPr>
        <w:t>其中：本年支出合计304.98万元，结余分配0.00万元，年末结转和结余0.00万元。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收入支出总体与上年相比，减少481.02万元，下降61.20%，主要原因是：本年维修支出和公租房清退房款及租金减少。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本年收入304.98万元，</w:t>
      </w:r>
      <w:r>
        <w:rPr>
          <w:rFonts w:ascii="仿宋_GB2312" w:hAnsi="仿宋_GB2312" w:eastAsia="仿宋_GB2312"/>
          <w:b w:val="0"/>
          <w:sz w:val="32"/>
        </w:rPr>
        <w:t>其中：财政拨款收入304.98万元，占100.00%；上级补助收入0.00万元，占0.00%；事业收入0.00万元，占0.00%；经营收入0.00万元，占0.00%；附属单位上缴收入0.00万元，占0.00%；其他收入0.00万元，占0.00%。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本年支出304.98万元，</w:t>
      </w:r>
      <w:r>
        <w:rPr>
          <w:rFonts w:ascii="仿宋_GB2312" w:hAnsi="仿宋_GB2312" w:eastAsia="仿宋_GB2312"/>
          <w:b w:val="0"/>
          <w:sz w:val="32"/>
        </w:rPr>
        <w:t>其中：基本支出148.96万元，占48.84%；项目支出156.02万元，占51.16%；上缴上级支出0.00万元，占0.00%；经营支出0.00万元，占0.00%；对附属单位补助支出0.00万元，占0.00%。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2024年度财政拨款收入总计304.98万元，</w:t>
      </w:r>
      <w:r>
        <w:rPr>
          <w:rFonts w:ascii="仿宋_GB2312" w:hAnsi="仿宋_GB2312" w:eastAsia="仿宋_GB2312"/>
          <w:b w:val="0"/>
          <w:sz w:val="32"/>
        </w:rPr>
        <w:t>其中：年初财政拨款结转和结余0.00万元，本年财政拨款收入304.98万元。</w:t>
      </w:r>
      <w:r>
        <w:rPr>
          <w:rFonts w:ascii="仿宋_GB2312" w:hAnsi="仿宋_GB2312" w:eastAsia="仿宋_GB2312"/>
          <w:b/>
          <w:sz w:val="32"/>
        </w:rPr>
        <w:t>财政拨款支出总计304.98万元，</w:t>
      </w:r>
      <w:r>
        <w:rPr>
          <w:rFonts w:ascii="仿宋_GB2312" w:hAnsi="仿宋_GB2312" w:eastAsia="仿宋_GB2312"/>
          <w:b w:val="0"/>
          <w:sz w:val="32"/>
        </w:rPr>
        <w:t>其中：年末财政拨款结转和结余0.00万元，本年财政拨款支出304.98万元。</w:t>
      </w:r>
    </w:p>
    <w:p>
      <w:pPr>
        <w:spacing w:line="580" w:lineRule="exact"/>
        <w:ind w:firstLine="640"/>
        <w:jc w:val="both"/>
        <w:rPr>
          <w:rFonts w:hint="default"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减少481.02万元，下降61.20%，主要原因是：本年维修支出和公租房清退房款及租金减少。</w:t>
      </w:r>
      <w:r>
        <w:rPr>
          <w:rFonts w:ascii="仿宋_GB2312" w:hAnsi="仿宋_GB2312" w:eastAsia="仿宋_GB2312"/>
          <w:b/>
          <w:sz w:val="32"/>
        </w:rPr>
        <w:t>与年初预算相比，</w:t>
      </w:r>
      <w:r>
        <w:rPr>
          <w:rFonts w:ascii="仿宋_GB2312" w:hAnsi="仿宋_GB2312" w:eastAsia="仿宋_GB2312"/>
          <w:b w:val="0"/>
          <w:sz w:val="32"/>
        </w:rPr>
        <w:t>年初预算数2,757.60万元，决算数304.98万元，预决算差异率-88.94%，主要原因是：</w:t>
      </w:r>
      <w:r>
        <w:rPr>
          <w:rFonts w:hint="eastAsia" w:ascii="仿宋_GB2312" w:hAnsi="仿宋_GB2312" w:eastAsia="仿宋_GB2312"/>
          <w:b w:val="0"/>
          <w:sz w:val="32"/>
          <w:lang w:val="en-US" w:eastAsia="zh-CN"/>
        </w:rPr>
        <w:t>年中调减阿图什市公租房维修、维护、管理及智能锁采购项目经费，导致预决算差异。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2024年度一般公共预算财政拨款支出304.98万元，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减少481.02万元，下降61.20%，主要原因是：本年维修支出和公租房清退房款及租金减少。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年初预算数2,757.60万元，决算数304.98万元，预决算差异率-88.94%，主要原因是：</w:t>
      </w:r>
      <w:r>
        <w:rPr>
          <w:rFonts w:hint="eastAsia" w:ascii="仿宋_GB2312" w:hAnsi="仿宋_GB2312" w:eastAsia="仿宋_GB2312"/>
          <w:b w:val="0"/>
          <w:sz w:val="32"/>
          <w:lang w:val="en-US" w:eastAsia="zh-CN"/>
        </w:rPr>
        <w:t>年中调减阿图什市公租房维修、维护、管理及智能锁采购项目经费，导致预决算差异。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1.社会保障和就业支出(类)15.01万元</w:t>
      </w:r>
      <w:r>
        <w:rPr>
          <w:rFonts w:hint="eastAsia" w:ascii="仿宋_GB2312" w:hAnsi="仿宋_GB2312" w:eastAsia="仿宋_GB2312"/>
          <w:b w:val="0"/>
          <w:sz w:val="32"/>
          <w:lang w:eastAsia="zh-CN"/>
        </w:rPr>
        <w:t>，</w:t>
      </w:r>
      <w:r>
        <w:rPr>
          <w:rFonts w:ascii="仿宋_GB2312" w:hAnsi="仿宋_GB2312" w:eastAsia="仿宋_GB2312"/>
          <w:b w:val="0"/>
          <w:sz w:val="32"/>
        </w:rPr>
        <w:t>占4.92%。</w:t>
      </w:r>
    </w:p>
    <w:p>
      <w:pPr>
        <w:spacing w:line="580" w:lineRule="exact"/>
        <w:ind w:firstLine="640"/>
        <w:jc w:val="both"/>
      </w:pPr>
      <w:r>
        <w:rPr>
          <w:rFonts w:ascii="仿宋_GB2312" w:hAnsi="仿宋_GB2312" w:eastAsia="仿宋_GB2312"/>
          <w:b w:val="0"/>
          <w:sz w:val="32"/>
        </w:rPr>
        <w:t>2.卫生健康支出(类)4.74万元</w:t>
      </w:r>
      <w:r>
        <w:rPr>
          <w:rFonts w:hint="eastAsia" w:ascii="仿宋_GB2312" w:hAnsi="仿宋_GB2312" w:eastAsia="仿宋_GB2312"/>
          <w:b w:val="0"/>
          <w:sz w:val="32"/>
          <w:lang w:eastAsia="zh-CN"/>
        </w:rPr>
        <w:t>，</w:t>
      </w:r>
      <w:r>
        <w:rPr>
          <w:rFonts w:ascii="仿宋_GB2312" w:hAnsi="仿宋_GB2312" w:eastAsia="仿宋_GB2312"/>
          <w:b w:val="0"/>
          <w:sz w:val="32"/>
        </w:rPr>
        <w:t>占1.55%。</w:t>
      </w:r>
    </w:p>
    <w:p>
      <w:pPr>
        <w:spacing w:line="580" w:lineRule="exact"/>
        <w:ind w:firstLine="640"/>
        <w:jc w:val="both"/>
      </w:pPr>
      <w:r>
        <w:rPr>
          <w:rFonts w:ascii="仿宋_GB2312" w:hAnsi="仿宋_GB2312" w:eastAsia="仿宋_GB2312"/>
          <w:b w:val="0"/>
          <w:sz w:val="32"/>
        </w:rPr>
        <w:t>3.城乡社区支出(类)273.10万元</w:t>
      </w:r>
      <w:r>
        <w:rPr>
          <w:rFonts w:hint="eastAsia" w:ascii="仿宋_GB2312" w:hAnsi="仿宋_GB2312" w:eastAsia="仿宋_GB2312"/>
          <w:b w:val="0"/>
          <w:sz w:val="32"/>
          <w:lang w:eastAsia="zh-CN"/>
        </w:rPr>
        <w:t>，</w:t>
      </w:r>
      <w:r>
        <w:rPr>
          <w:rFonts w:ascii="仿宋_GB2312" w:hAnsi="仿宋_GB2312" w:eastAsia="仿宋_GB2312"/>
          <w:b w:val="0"/>
          <w:sz w:val="32"/>
        </w:rPr>
        <w:t>占89.55%。</w:t>
      </w:r>
    </w:p>
    <w:p>
      <w:pPr>
        <w:spacing w:line="580" w:lineRule="exact"/>
        <w:ind w:firstLine="640"/>
        <w:jc w:val="both"/>
      </w:pPr>
      <w:r>
        <w:rPr>
          <w:rFonts w:ascii="仿宋_GB2312" w:hAnsi="仿宋_GB2312" w:eastAsia="仿宋_GB2312"/>
          <w:b w:val="0"/>
          <w:sz w:val="32"/>
        </w:rPr>
        <w:t>4.住房保障支出(类)12.13万元</w:t>
      </w:r>
      <w:r>
        <w:rPr>
          <w:rFonts w:hint="eastAsia" w:ascii="仿宋_GB2312" w:hAnsi="仿宋_GB2312" w:eastAsia="仿宋_GB2312"/>
          <w:b w:val="0"/>
          <w:sz w:val="32"/>
          <w:lang w:eastAsia="zh-CN"/>
        </w:rPr>
        <w:t>，</w:t>
      </w:r>
      <w:r>
        <w:rPr>
          <w:rFonts w:ascii="仿宋_GB2312" w:hAnsi="仿宋_GB2312" w:eastAsia="仿宋_GB2312"/>
          <w:b w:val="0"/>
          <w:sz w:val="32"/>
        </w:rPr>
        <w:t>占3.98%。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支出决算数为15.01万元，比上年决算增加0.81万元，增长5.70%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支出决算数为4.74万元，比上年决算增加0.27万元，增长6.04%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3.城乡社区支出(类)城乡社区管理事务(款)其他城乡社区管理事务支出(项)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支出决算数为273.10万元，比上年决算减少482.24万元，下降63.84%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主要原因是：本年减少公租房维修、维护智能锁采购、清退房款及租金等经费。</w:t>
      </w:r>
    </w:p>
    <w:p>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支出决算数为12.13万元，比上年决算增加0.14万元，增长1.17%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2024年度一般公共预算财政拨款基本支出148.96万元，其中：</w:t>
      </w:r>
      <w:r>
        <w:rPr>
          <w:rFonts w:ascii="仿宋_GB2312" w:hAnsi="仿宋_GB2312" w:eastAsia="仿宋_GB2312"/>
          <w:b/>
          <w:sz w:val="32"/>
        </w:rPr>
        <w:t>人员经费147.46万元，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公用经费1.50万元，</w:t>
      </w:r>
      <w:r>
        <w:rPr>
          <w:rFonts w:ascii="仿宋_GB2312" w:hAnsi="仿宋_GB2312" w:eastAsia="仿宋_GB2312"/>
          <w:b w:val="0"/>
          <w:sz w:val="32"/>
        </w:rPr>
        <w:t>包括：办公费。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2024年度阿图什市城镇保障性住房服务中心（事业单位）公用经费支出1.50万元，比上年增加0.05万元，增长3.45%，主要原因是：本年更新、维护补充办公用品，导致公用经费较上年增加。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2024年度政府采购支出总额23.58万元，其中：政府采购货物支出20.32万元、政府采购工程支出0.00万元、政府采购服务支出3.26万元。</w:t>
      </w:r>
    </w:p>
    <w:p>
      <w:pPr>
        <w:spacing w:line="580" w:lineRule="exact"/>
        <w:ind w:firstLine="640"/>
        <w:jc w:val="both"/>
      </w:pPr>
      <w:r>
        <w:rPr>
          <w:rFonts w:ascii="仿宋_GB2312" w:hAnsi="仿宋_GB2312" w:eastAsia="仿宋_GB2312"/>
          <w:b w:val="0"/>
          <w:sz w:val="32"/>
        </w:rPr>
        <w:t>授予中小企业合同金额23.58万元，占政府采购支出总额的100.00%，其中：授予小微企业合同金额22.30万元，占政府采购支出总额的94.57%。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304.98万元，实际执行总额304.98万元；预算绩效评价项目2个，全年预算数2,606.00万元，全年执行数156.03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阿图什市城镇保障性住房服务中心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2,757.59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2,757.59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单位基本职能：承担保障城镇低收入家庭住房的责任。拟订全市住房保障相关政策并指导实施</w:t>
            </w:r>
            <w:r>
              <w:rPr>
                <w:rFonts w:hint="eastAsia" w:ascii="宋体" w:hAnsi="宋体"/>
                <w:sz w:val="16"/>
                <w:lang w:eastAsia="zh-CN"/>
              </w:rPr>
              <w:t>，</w:t>
            </w:r>
            <w:r>
              <w:rPr>
                <w:rFonts w:ascii="宋体" w:hAnsi="宋体" w:eastAsia="宋体"/>
                <w:sz w:val="16"/>
              </w:rPr>
              <w:t>会同有关部门做好有关住房保障资金安排工作</w:t>
            </w:r>
            <w:r>
              <w:rPr>
                <w:rFonts w:hint="eastAsia" w:ascii="宋体" w:hAnsi="宋体"/>
                <w:sz w:val="16"/>
                <w:lang w:eastAsia="zh-CN"/>
              </w:rPr>
              <w:t>，</w:t>
            </w:r>
            <w:r>
              <w:rPr>
                <w:rFonts w:ascii="宋体" w:hAnsi="宋体" w:eastAsia="宋体"/>
                <w:sz w:val="16"/>
              </w:rPr>
              <w:t>监督组织实施。编制住房保障发展规划和年度计划并监督实施。承担推进住房制度改革的责任。做好适合全市的住房政策，指导住房建设和住房制度改革，拟订全市住房建设规划并指导实施。</w:t>
            </w:r>
            <w:r>
              <w:rPr>
                <w:rFonts w:ascii="宋体" w:hAnsi="宋体" w:eastAsia="宋体"/>
                <w:sz w:val="16"/>
              </w:rPr>
              <w:br w:type="textWrapping"/>
            </w:r>
            <w:r>
              <w:rPr>
                <w:rFonts w:ascii="宋体" w:hAnsi="宋体" w:eastAsia="宋体"/>
                <w:sz w:val="16"/>
              </w:rPr>
              <w:t>机构设置及人员配置：无下属预算单位，下设2个科室，编制数10，实有人数10人，在职10人。</w:t>
            </w:r>
            <w:r>
              <w:rPr>
                <w:rFonts w:ascii="宋体" w:hAnsi="宋体" w:eastAsia="宋体"/>
                <w:sz w:val="16"/>
              </w:rPr>
              <w:br w:type="textWrapping"/>
            </w:r>
            <w:r>
              <w:rPr>
                <w:rFonts w:ascii="宋体" w:hAnsi="宋体" w:eastAsia="宋体"/>
                <w:sz w:val="16"/>
              </w:rPr>
              <w:t>中长期规划：强化队伍抓管理。为加强队伍建设，改进工作作风，针对干部中存在的“不严不实”的问题，制定立得住、打得通、管得好的制度，推行“三严三实”常态化、长效化。严格落实党风廉政建设责任清单，加大问责力度，坚持有错必究、有问必责，确保我中心建设制度化、规范化、提供有力保障。2024年计划实施95套公租房着重解决特困家庭、孤寡老人、新就业无房职工、低收入家庭、中低收入家庭、外来务工人员、进城落户的农牧民等住房困难问题。</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304.98万元，用于保障部门在职10人的工资福利、各项补助正常发放及部门单位正常运转，单位预算项目根据年初计划均已完成，严格落实党风廉政建设责任清单，加大问责力度，坚持有错必究、有问必责，确保我中心建设制度化、规范化、提供有力保障，着重解决特困家庭、孤寡老人、新就业无房职工、低收入家庭、中低收入家庭、外来务工人员、进城落户的农牧民等住房困难问题，年度任务中完成公租房维修管理套数14443套，新建公租房数量95套，智能锁安装项目1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公租房维修管理套数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&gt;=14879套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14443套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新建公租房数量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rPr>
          <w:trHeight w:val="701"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智能锁安装项目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信息化系统</w:t>
            </w:r>
            <w:r>
              <w:rPr>
                <w:rFonts w:hint="eastAsia" w:ascii="宋体" w:hAnsi="宋体"/>
                <w:sz w:val="16"/>
                <w:lang w:val="en-US" w:eastAsia="zh-CN"/>
              </w:rPr>
              <w:t>WD</w:t>
            </w:r>
            <w:bookmarkStart w:id="0" w:name="_GoBack"/>
            <w:bookmarkEnd w:id="0"/>
            <w:r>
              <w:rPr>
                <w:rFonts w:ascii="宋体" w:hAnsi="宋体" w:eastAsia="宋体"/>
                <w:sz w:val="16"/>
              </w:rPr>
              <w:t>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住房保障服务窗口日常咨询服务及时率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阿图什市公租房清退房款及租金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阿图什市城镇保障性住房服务中心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根据自治区公租房管理办法历年卖出去的公租房改成租赁模式，项目计划投入500万元， 计划完成清退房款及</w:t>
            </w:r>
            <w:r>
              <w:rPr>
                <w:rFonts w:hint="eastAsia" w:ascii="宋体" w:hAnsi="宋体"/>
                <w:sz w:val="16"/>
                <w:lang w:eastAsia="zh-CN"/>
              </w:rPr>
              <w:t>租赁</w:t>
            </w:r>
            <w:r>
              <w:rPr>
                <w:rFonts w:ascii="宋体" w:hAnsi="宋体" w:eastAsia="宋体"/>
                <w:sz w:val="16"/>
              </w:rPr>
              <w:t xml:space="preserve">房屋500套。项目实施后进一步改善公租房管理。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本项目共计支出112.5866万元，完成清退房款及租金数量142套；通过实施本项目进一步改善公租房管理。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清退房款及租金数量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原因：根据实际申请退款的居民户数完成，因此偏低；措施：后期将会持续执行项目，提高预算执行率。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原因：根据实际申请退款的居民户数完成，因此偏低；措施：后期将会持续执行项目，提高预算执行率。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原因：根据实际申请退款的居民户数完成，因此偏低；措施：后期将会持续执行项目，提高预算执行率。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原因：根据实际申请退款的居民户数完成，因此偏低；措施：后期将会持续执行项目，提高预算执行率。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清退房款及租金费用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原因：根据实际申请退款的居民户数完成，因此偏低；措施：后期将会持续执行项目，提高预算执行率。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持续为人民群众服务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0"/>
        <w:gridCol w:w="601"/>
        <w:gridCol w:w="601"/>
        <w:gridCol w:w="620"/>
        <w:gridCol w:w="936"/>
        <w:gridCol w:w="609"/>
        <w:gridCol w:w="606"/>
        <w:gridCol w:w="611"/>
        <w:gridCol w:w="601"/>
        <w:gridCol w:w="601"/>
        <w:gridCol w:w="856"/>
        <w:gridCol w:w="615"/>
        <w:gridCol w:w="562"/>
        <w:gridCol w:w="62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阿图什市公租房维修、维护、管理及智能锁采购项目</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阿图什市城镇保障性住房服务中心</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2,106.00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2,106.00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43.44</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2,106.00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2,106.00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43.44</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新疆维吾尔自治区公租房管理办法》，安排项目资金500万元，为进一步提高我市公租房运行及管理水平，开展保障性住房维修，维护管理和运营1756.96万元，涉及小区9个，采购电子锁5000个；通过项目的实施，确保公租房正常运转，提高安全性。</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本项目共计支出43.4379万元，用于保障性住房维修、维护小区数量9个，智能锁采购数量733个；通过实施本项目确保公租房正常运转，提高安全性。</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保障性住房维修、维护小区数量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智能锁采购数量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&gt;=5000个</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原因：根据实际情况进行采购，剩余物品于2025年进行采购；措施：加快项目进度，减少偏差。</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原因：根据实际情况进行采购，剩余物品于2025年进行采购；措施：加快项目进度，减少偏差。</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保障性住房维修、维护成本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&lt;=1756.96万元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=43.4379万元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智能锁采购成本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持续为人民群众服务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5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6C6BD8-039B-48ED-A2EC-DEE0AD61061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01D7B5C1-5562-4E38-801A-D1619ECE8494}"/>
  </w:font>
  <w:font w:name="仿宋_GB2312">
    <w:panose1 w:val="02010609030101010101"/>
    <w:charset w:val="86"/>
    <w:family w:val="modern"/>
    <w:pitch w:val="default"/>
    <w:sig w:usb0="00000001" w:usb1="080E0000" w:usb2="00000000" w:usb3="00000000" w:csb0="00040000" w:csb1="00000000"/>
    <w:embedRegular r:id="rId3" w:fontKey="{C609DCC5-949E-4470-8F3B-46778FA6A09B}"/>
  </w:font>
  <w:font w:name="楷体_GB2312">
    <w:panose1 w:val="02010609030101010101"/>
    <w:charset w:val="86"/>
    <w:family w:val="auto"/>
    <w:pitch w:val="default"/>
    <w:sig w:usb0="00000001" w:usb1="080E0000" w:usb2="00000000" w:usb3="00000000" w:csb0="00040000" w:csb1="00000000"/>
    <w:embedRegular r:id="rId4" w:fontKey="{A2312FD1-1225-444E-AA54-2E03FDF1FBEB}"/>
  </w:font>
  <w:font w:name="楷体">
    <w:panose1 w:val="02010609060101010101"/>
    <w:charset w:val="86"/>
    <w:family w:val="auto"/>
    <w:pitch w:val="default"/>
    <w:sig w:usb0="800002BF" w:usb1="38CF7CFA" w:usb2="00000016" w:usb3="00000000" w:csb0="00040001" w:csb1="00000000"/>
  </w:font>
  <w:font w:name="WPSEMBED1">
    <w:altName w:val="宋体"/>
    <w:panose1 w:val="02000000000000000000"/>
    <w:charset w:val="86"/>
    <w:family w:val="auto"/>
    <w:pitch w:val="default"/>
    <w:sig w:usb0="00000000" w:usb1="00000000" w:usb2="00082016" w:usb3="00000000" w:csb0="00040001" w:csb1="00000000"/>
  </w:font>
  <w:font w:name="WPSEMBED2">
    <w:altName w:val="宋体"/>
    <w:panose1 w:val="02010609030101010101"/>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4E21C7"/>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FA2F60"/>
    <w:rsid w:val="2D1136DF"/>
    <w:rsid w:val="2DAE0E44"/>
    <w:rsid w:val="2F231865"/>
    <w:rsid w:val="2FD27414"/>
    <w:rsid w:val="313F1D52"/>
    <w:rsid w:val="318029AB"/>
    <w:rsid w:val="31C63837"/>
    <w:rsid w:val="326F0A17"/>
    <w:rsid w:val="3277581B"/>
    <w:rsid w:val="38006E2C"/>
    <w:rsid w:val="3914510A"/>
    <w:rsid w:val="3B1220C9"/>
    <w:rsid w:val="3D5275AC"/>
    <w:rsid w:val="3EA7725F"/>
    <w:rsid w:val="3EC014A1"/>
    <w:rsid w:val="3F3C23E9"/>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351B78"/>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4876</Words>
  <Characters>5619</Characters>
  <Lines>0</Lines>
  <Paragraphs>0</Paragraphs>
  <TotalTime>8</TotalTime>
  <ScaleCrop>false</ScaleCrop>
  <LinksUpToDate>false</LinksUpToDate>
  <CharactersWithSpaces>5627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2025-09-18T08:12:28Z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