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中共阿图什市哈拉峻乡委员会2024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详细介绍本部门单位工作职能。在市委的领导下发挥领导核心作用，认真贯彻党的路线、方针、政策和上级党组织的决定；负责对本乡政</w:t>
      </w:r>
      <w:r>
        <w:rPr>
          <w:rFonts w:hint="eastAsia" w:ascii="仿宋_GB2312" w:hAnsi="仿宋_GB2312" w:eastAsia="仿宋_GB2312"/>
          <w:sz w:val="32"/>
          <w:lang w:eastAsia="zh-CN"/>
        </w:rPr>
        <w:t>治和</w:t>
      </w:r>
      <w:r>
        <w:rPr>
          <w:rFonts w:ascii="仿宋_GB2312" w:hAnsi="仿宋_GB2312" w:eastAsia="仿宋_GB2312"/>
          <w:sz w:val="32"/>
        </w:rPr>
        <w:t>经济社会等重大事务</w:t>
      </w:r>
      <w:r>
        <w:rPr>
          <w:rFonts w:hint="eastAsia" w:ascii="仿宋_GB2312" w:hAnsi="仿宋_GB2312" w:eastAsia="仿宋_GB2312"/>
          <w:sz w:val="32"/>
          <w:lang w:eastAsia="zh-CN"/>
        </w:rPr>
        <w:t>作出</w:t>
      </w:r>
      <w:r>
        <w:rPr>
          <w:rFonts w:ascii="仿宋_GB2312" w:hAnsi="仿宋_GB2312" w:eastAsia="仿宋_GB2312"/>
          <w:sz w:val="32"/>
        </w:rPr>
        <w:t>决策；负责全乡党的政策、思想、组织和作风建设、抓好党委的自身建设；按照上级规定的干部管理权限，负责抓好乡属部门单位负责人的考察、培养、使用和管理，努力造就一支高素质党员干部。领导乡人大、人民政府、乡纪委等工作；搞好全乡精神文明建设，决定重要建设项目和审定数额较大的财务开支；完成上级党委安排的各项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中共阿图什市哈拉峻乡委员会2024年度，实有人数16人，其中：在职人员15人，减少1人；离休人员0人，增加0人；退休人员1人</w:t>
      </w:r>
      <w:r>
        <w:rPr>
          <w:rFonts w:hint="eastAsia" w:ascii="仿宋_GB2312" w:hAnsi="仿宋_GB2312" w:eastAsia="仿宋_GB2312"/>
          <w:sz w:val="32"/>
          <w:lang w:eastAsia="zh-CN"/>
        </w:rPr>
        <w:t>，</w:t>
      </w:r>
      <w:r>
        <w:rPr>
          <w:rFonts w:ascii="仿宋_GB2312" w:hAnsi="仿宋_GB2312" w:eastAsia="仿宋_GB2312"/>
          <w:sz w:val="32"/>
        </w:rPr>
        <w:t>增加0人。</w:t>
      </w:r>
    </w:p>
    <w:p>
      <w:pPr>
        <w:spacing w:line="580" w:lineRule="exact"/>
        <w:ind w:firstLine="640"/>
        <w:jc w:val="both"/>
      </w:pPr>
      <w:r>
        <w:rPr>
          <w:rFonts w:ascii="仿宋_GB2312" w:hAnsi="仿宋_GB2312" w:eastAsia="仿宋_GB2312"/>
          <w:sz w:val="32"/>
        </w:rPr>
        <w:t>中共阿图什市哈拉峻乡委员会无下属预算单位，下设4个科室，分别是：党办、综治办、宣传办、团委办。</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2024年度收入总计181.27万元，</w:t>
      </w:r>
      <w:r>
        <w:rPr>
          <w:rFonts w:ascii="仿宋_GB2312" w:hAnsi="仿宋_GB2312" w:eastAsia="仿宋_GB2312"/>
          <w:b w:val="0"/>
          <w:sz w:val="32"/>
        </w:rPr>
        <w:t>其中：本年收入合计181.27万元，使用非财政拨款结余（含专用结余）0.00万元，年初结转和结余0.00万元。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2024年度支出总计181.27万元，</w:t>
      </w:r>
      <w:r>
        <w:rPr>
          <w:rFonts w:ascii="仿宋_GB2312" w:hAnsi="仿宋_GB2312" w:eastAsia="仿宋_GB2312"/>
          <w:b w:val="0"/>
          <w:sz w:val="32"/>
        </w:rPr>
        <w:t>其中：本年支出合计181.27万元，结余分配0.00万元，年末结转和结余0.00万元。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收入支出总体与上年相比，减少25.22万元，下降12.21%，主要原因是：本年在职人员减少，相关人员经费较上年减少。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本年收入181.27万元，</w:t>
      </w:r>
      <w:r>
        <w:rPr>
          <w:rFonts w:ascii="仿宋_GB2312" w:hAnsi="仿宋_GB2312" w:eastAsia="仿宋_GB2312"/>
          <w:b w:val="0"/>
          <w:sz w:val="32"/>
        </w:rPr>
        <w:t>其中：财政拨款收入181.27万元，占100.00%；上级补助收入0.00万元，占0.00%；事业收入0.00万元，占0.00%；经营收入0.00万元，占0.00%；附属单位上缴收入0.00万元，占0.00%；其他收入0.00万元，占0.00%。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本年支出181.27万元，</w:t>
      </w:r>
      <w:r>
        <w:rPr>
          <w:rFonts w:ascii="仿宋_GB2312" w:hAnsi="仿宋_GB2312" w:eastAsia="仿宋_GB2312"/>
          <w:b w:val="0"/>
          <w:sz w:val="32"/>
        </w:rPr>
        <w:t>其中：基本支出181.27万元，占100.00%；项目支出0.00万元，占0.00%；上缴上级支出0.00万元，占0.00%；经营支出0.00万元，占0.00%；对附属单位补助支出0.00万元，占0.00%。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2024年度财政拨款收入总计181.27万元，</w:t>
      </w:r>
      <w:r>
        <w:rPr>
          <w:rFonts w:ascii="仿宋_GB2312" w:hAnsi="仿宋_GB2312" w:eastAsia="仿宋_GB2312"/>
          <w:b w:val="0"/>
          <w:sz w:val="32"/>
        </w:rPr>
        <w:t>其中：年初财政拨款结转和结余0.00万元，本年财政拨款收入181.27万元。</w:t>
      </w:r>
      <w:r>
        <w:rPr>
          <w:rFonts w:ascii="仿宋_GB2312" w:hAnsi="仿宋_GB2312" w:eastAsia="仿宋_GB2312"/>
          <w:b/>
          <w:sz w:val="32"/>
        </w:rPr>
        <w:t>财政拨款支出总计181.27万元，</w:t>
      </w:r>
      <w:r>
        <w:rPr>
          <w:rFonts w:ascii="仿宋_GB2312" w:hAnsi="仿宋_GB2312" w:eastAsia="仿宋_GB2312"/>
          <w:b w:val="0"/>
          <w:sz w:val="32"/>
        </w:rPr>
        <w:t>其中：年末财政拨款结转和结余0.00万元，本年财政拨款支出181.27万元。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减少25.22万元，下降12.21%，主要原因是：本年在职人员减少，相关人员经费较上年减少。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年初预算数200.03万元，决算数181.27万元，预决算差异率-9.38%，主要原因是：本年在职人员减少，年中调减人员经费，导致预决算存在差异。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2024年度一般公共预算财政拨款支出181.27万元，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减少25.22万元，下降12.21%，主要原因是：本年在职人员减少，相关人员经费较上年减少。</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年初预算数200.03万元，决算数181.27万元，预决算差异率-9.38%，主要原因是：本年在职人员减少，年中调减人员经费，导致预决算存在差异。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1.一般公共服务支出(类)164.71万元</w:t>
      </w:r>
      <w:r>
        <w:rPr>
          <w:rFonts w:hint="eastAsia" w:ascii="仿宋_GB2312" w:hAnsi="仿宋_GB2312" w:eastAsia="仿宋_GB2312"/>
          <w:b w:val="0"/>
          <w:sz w:val="32"/>
          <w:lang w:eastAsia="zh-CN"/>
        </w:rPr>
        <w:t>，</w:t>
      </w:r>
      <w:r>
        <w:rPr>
          <w:rFonts w:ascii="仿宋_GB2312" w:hAnsi="仿宋_GB2312" w:eastAsia="仿宋_GB2312"/>
          <w:b w:val="0"/>
          <w:sz w:val="32"/>
        </w:rPr>
        <w:t>占90.86%。</w:t>
      </w:r>
    </w:p>
    <w:p>
      <w:pPr>
        <w:spacing w:line="580" w:lineRule="exact"/>
        <w:ind w:firstLine="640"/>
        <w:jc w:val="both"/>
      </w:pPr>
      <w:r>
        <w:rPr>
          <w:rFonts w:ascii="仿宋_GB2312" w:hAnsi="仿宋_GB2312" w:eastAsia="仿宋_GB2312"/>
          <w:b w:val="0"/>
          <w:sz w:val="32"/>
        </w:rPr>
        <w:t>2.社会保障和就业支出(类)7.82万元</w:t>
      </w:r>
      <w:r>
        <w:rPr>
          <w:rFonts w:hint="eastAsia" w:ascii="仿宋_GB2312" w:hAnsi="仿宋_GB2312" w:eastAsia="仿宋_GB2312"/>
          <w:b w:val="0"/>
          <w:sz w:val="32"/>
          <w:lang w:eastAsia="zh-CN"/>
        </w:rPr>
        <w:t>，</w:t>
      </w:r>
      <w:r>
        <w:rPr>
          <w:rFonts w:ascii="仿宋_GB2312" w:hAnsi="仿宋_GB2312" w:eastAsia="仿宋_GB2312"/>
          <w:b w:val="0"/>
          <w:sz w:val="32"/>
        </w:rPr>
        <w:t>占4.31%。</w:t>
      </w:r>
    </w:p>
    <w:p>
      <w:pPr>
        <w:spacing w:line="580" w:lineRule="exact"/>
        <w:ind w:firstLine="640"/>
        <w:jc w:val="both"/>
      </w:pPr>
      <w:r>
        <w:rPr>
          <w:rFonts w:ascii="仿宋_GB2312" w:hAnsi="仿宋_GB2312" w:eastAsia="仿宋_GB2312"/>
          <w:b w:val="0"/>
          <w:sz w:val="32"/>
        </w:rPr>
        <w:t>3.卫生健康支出(类)2.76万元</w:t>
      </w:r>
      <w:r>
        <w:rPr>
          <w:rFonts w:hint="eastAsia" w:ascii="仿宋_GB2312" w:hAnsi="仿宋_GB2312" w:eastAsia="仿宋_GB2312"/>
          <w:b w:val="0"/>
          <w:sz w:val="32"/>
          <w:lang w:eastAsia="zh-CN"/>
        </w:rPr>
        <w:t>，</w:t>
      </w:r>
      <w:r>
        <w:rPr>
          <w:rFonts w:ascii="仿宋_GB2312" w:hAnsi="仿宋_GB2312" w:eastAsia="仿宋_GB2312"/>
          <w:b w:val="0"/>
          <w:sz w:val="32"/>
        </w:rPr>
        <w:t>占1.52%。</w:t>
      </w:r>
    </w:p>
    <w:p>
      <w:pPr>
        <w:spacing w:line="580" w:lineRule="exact"/>
        <w:ind w:firstLine="640"/>
        <w:jc w:val="both"/>
      </w:pPr>
      <w:r>
        <w:rPr>
          <w:rFonts w:ascii="仿宋_GB2312" w:hAnsi="仿宋_GB2312" w:eastAsia="仿宋_GB2312"/>
          <w:b w:val="0"/>
          <w:sz w:val="32"/>
        </w:rPr>
        <w:t>4.住房保障支出(类)5.97万元</w:t>
      </w:r>
      <w:r>
        <w:rPr>
          <w:rFonts w:hint="eastAsia" w:ascii="仿宋_GB2312" w:hAnsi="仿宋_GB2312" w:eastAsia="仿宋_GB2312"/>
          <w:b w:val="0"/>
          <w:sz w:val="32"/>
          <w:lang w:eastAsia="zh-CN"/>
        </w:rPr>
        <w:t>，</w:t>
      </w:r>
      <w:r>
        <w:rPr>
          <w:rFonts w:ascii="仿宋_GB2312" w:hAnsi="仿宋_GB2312" w:eastAsia="仿宋_GB2312"/>
          <w:b w:val="0"/>
          <w:sz w:val="32"/>
        </w:rPr>
        <w:t>占3.29%。</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1.一般公共服务支出(类)党委办公厅（室）及相关机构事务(款)行政运行(项)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支出决算数为53.72万元，比上年决算减少130.03万元，下降70.76%</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主要原因是：本单位本年度机构制度改革以后，人员重新定岗定责划分，部分人员经费由行政运行科目调整至事业运行科目列支，导致此科目经费减少。</w:t>
      </w:r>
    </w:p>
    <w:p>
      <w:pPr>
        <w:spacing w:line="580" w:lineRule="exact"/>
        <w:ind w:firstLine="640"/>
        <w:jc w:val="both"/>
      </w:pPr>
      <w:r>
        <w:rPr>
          <w:rFonts w:ascii="仿宋_GB2312" w:hAnsi="仿宋_GB2312" w:eastAsia="仿宋_GB2312"/>
          <w:b w:val="0"/>
          <w:sz w:val="32"/>
        </w:rPr>
        <w:t>2.一般公共服务支出(类)党委办公厅（室）及相关机构事务(款)事业运行(项)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支出决算数为111.00万元，比上年决算增加111.00万元，增长100.00%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主要原因是：本单位本年度机构制度改革以后，人员重新定岗定责划分，部分人员经费由行政运行科目调整至事业运行科目列支，导致此科目经费增加。</w:t>
      </w:r>
    </w:p>
    <w:p>
      <w:pPr>
        <w:spacing w:line="580" w:lineRule="exact"/>
        <w:ind w:firstLine="640"/>
        <w:jc w:val="both"/>
      </w:pPr>
      <w:r>
        <w:rPr>
          <w:rFonts w:ascii="仿宋_GB2312" w:hAnsi="仿宋_GB2312" w:eastAsia="仿宋_GB2312"/>
          <w:b w:val="0"/>
          <w:sz w:val="32"/>
        </w:rPr>
        <w:t>3.社会保障和就业支出(类)行政事业单位养老支出(款)行政单位离退休(项)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支出决算数为1.06万元，比上年决算增加0.68万元，增长178.95%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主要原因是：本年增加退休人员基础绩效奖，退休费支出增加。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支出决算数为6.76万元，比上年决算减少1.04万元，下降13.33%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主要原因是：本年在职人员减少，单位基本养老保险缴费较上年减少。</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支出决算数为0.00万元，比上年决算减少5.35万元，下降100.00%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主要原因是：本年无新增退休人员，职业年金缴费较上年减少。</w:t>
      </w:r>
    </w:p>
    <w:p>
      <w:pPr>
        <w:spacing w:line="580" w:lineRule="exact"/>
        <w:ind w:firstLine="640"/>
        <w:jc w:val="both"/>
      </w:pPr>
      <w:r>
        <w:rPr>
          <w:rFonts w:ascii="仿宋_GB2312" w:hAnsi="仿宋_GB2312" w:eastAsia="仿宋_GB2312"/>
          <w:b w:val="0"/>
          <w:sz w:val="32"/>
        </w:rPr>
        <w:t>6.卫生健康支出(类)行政事业单位医疗(款)行政单位医疗(项)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支出决算数为2.76万元，比上年决算减少0.27万元，下降8.91%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主要原因是：本年在职人员减少，行政单位医疗支出较上年减少。</w:t>
      </w:r>
    </w:p>
    <w:p>
      <w:pPr>
        <w:spacing w:line="580" w:lineRule="exact"/>
        <w:ind w:firstLine="640"/>
        <w:jc w:val="both"/>
      </w:pPr>
      <w:r>
        <w:rPr>
          <w:rFonts w:ascii="仿宋_GB2312" w:hAnsi="仿宋_GB2312" w:eastAsia="仿宋_GB2312"/>
          <w:b w:val="0"/>
          <w:sz w:val="32"/>
        </w:rPr>
        <w:t>7.住房保障支出(类)住房改革支出(款)住房公积金(项)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支出决算数为5.97万元，比上年决算减少0.20万元，下降3.24%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主要原因是：本年在职人员减少，住房公积金缴费较上年减少。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2024年度一般公共预算财政拨款基本支出181.27万元，其中：</w:t>
      </w:r>
      <w:r>
        <w:rPr>
          <w:rFonts w:ascii="仿宋_GB2312" w:hAnsi="仿宋_GB2312" w:eastAsia="仿宋_GB2312"/>
          <w:b/>
          <w:sz w:val="32"/>
        </w:rPr>
        <w:t>人员经费180.67万元，</w:t>
      </w:r>
      <w:r>
        <w:rPr>
          <w:rFonts w:ascii="仿宋_GB2312" w:hAnsi="仿宋_GB2312" w:eastAsia="仿宋_GB2312"/>
          <w:b w:val="0"/>
          <w:sz w:val="32"/>
        </w:rPr>
        <w:t>包括：基本工资、津贴补贴、奖金、机关事业单位基本养老保险缴费、职工基本医疗保险缴费、其他社会保障缴费、住房公积金、退休费、生活补助。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公用经费0.60万元，</w:t>
      </w:r>
      <w:r>
        <w:rPr>
          <w:rFonts w:ascii="仿宋_GB2312" w:hAnsi="仿宋_GB2312" w:eastAsia="仿宋_GB2312"/>
          <w:b w:val="0"/>
          <w:sz w:val="32"/>
        </w:rPr>
        <w:t>包括：办公费、邮电费。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2024年度中共阿图什市哈拉峻乡委员会（事业单位）公用经费支出0.60万元，比上年减少0.15万元，下降20.00%，主要原因是：本年减少电费，导致公用经费</w:t>
      </w:r>
      <w:r>
        <w:rPr>
          <w:rFonts w:hint="eastAsia" w:ascii="仿宋_GB2312" w:hAnsi="仿宋_GB2312" w:eastAsia="仿宋_GB2312"/>
          <w:b w:val="0"/>
          <w:sz w:val="32"/>
          <w:lang w:val="en-US" w:eastAsia="zh-CN"/>
        </w:rPr>
        <w:t>支出</w:t>
      </w:r>
      <w:r>
        <w:rPr>
          <w:rFonts w:ascii="仿宋_GB2312" w:hAnsi="仿宋_GB2312" w:eastAsia="仿宋_GB2312"/>
          <w:b w:val="0"/>
          <w:sz w:val="32"/>
        </w:rPr>
        <w:t>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2024年度政府采购支出总额0.60万元，其中：政府采购货物支出0.60万元、政府采购工程支出0.00万元、政府采购服务支出0.00万元。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授予中小企业合同金额0.60万元，占政府采购支出总额的100.00%，其中：授予小微企业合同金额0.60万元，占政府采购支出总额的100.00%。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w:t>
      </w:r>
      <w:bookmarkStart w:id="0" w:name="_GoBack"/>
      <w:bookmarkEnd w:id="0"/>
      <w:r>
        <w:rPr>
          <w:rFonts w:ascii="仿宋_GB2312" w:hAnsi="仿宋_GB2312" w:eastAsia="仿宋_GB2312"/>
          <w:b w:val="0"/>
          <w:sz w:val="32"/>
        </w:rPr>
        <w:t>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预算绩效项目。发现的问题及原因：本单位无预算绩效项目。下一步改进措施：本单位无预算绩效项目。</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本年度本单位整体绩效自评表由阿图什市哈拉峻乡人民政府编报并公开。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09674A"/>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86E37CB"/>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E2C31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5097</Words>
  <Characters>5698</Characters>
  <Lines>0</Lines>
  <Paragraphs>0</Paragraphs>
  <TotalTime>1</TotalTime>
  <ScaleCrop>false</ScaleCrop>
  <LinksUpToDate>false</LinksUpToDate>
  <CharactersWithSpaces>5708</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2025-09-12T05:24:46Z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