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中共阿图什市哈拉峻乡委员会2024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67A7A3">
      <w:r>
        <w:br w:type="page"/>
      </w:r>
    </w:p>
    <w:p w14:paraId="37EB18C8">
      <w:pPr>
        <w:spacing w:line="640" w:lineRule="exact"/>
        <w:jc w:val="center"/>
        <w:outlineLvl w:val="1"/>
      </w:pPr>
      <w:r>
        <w:rPr>
          <w:rFonts w:ascii="黑体" w:hAnsi="黑体" w:eastAsia="黑体"/>
          <w:sz w:val="32"/>
        </w:rPr>
        <w:t>第一部分 单位概况</w:t>
      </w:r>
    </w:p>
    <w:p w14:paraId="4EECA750">
      <w:pPr>
        <w:spacing w:line="640" w:lineRule="exact"/>
        <w:ind w:firstLine="640"/>
        <w:jc w:val="both"/>
        <w:outlineLvl w:val="2"/>
      </w:pPr>
      <w:r>
        <w:rPr>
          <w:rFonts w:ascii="黑体" w:hAnsi="黑体" w:eastAsia="黑体"/>
          <w:sz w:val="32"/>
        </w:rPr>
        <w:t>一、主要职能</w:t>
      </w:r>
    </w:p>
    <w:p w14:paraId="0609825D">
      <w:pPr>
        <w:spacing w:line="580" w:lineRule="exact"/>
        <w:ind w:firstLine="640"/>
        <w:jc w:val="both"/>
      </w:pPr>
      <w:r>
        <w:rPr>
          <w:rFonts w:ascii="仿宋_GB2312" w:hAnsi="仿宋_GB2312" w:eastAsia="仿宋_GB2312"/>
          <w:sz w:val="32"/>
        </w:rPr>
        <w:t>详细介绍本部门单位工作职能。在市委的领导下发挥领导核心作用，认真贯彻党的路线、方针、政策和上级党组织的决定；负责对本乡政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全乡党的政策、思想、组织和作风建设、抓好党委的自身建设；按照上级规定的干部管理权限，负责抓好乡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14:paraId="3687B225">
      <w:pPr>
        <w:spacing w:line="640" w:lineRule="exact"/>
        <w:ind w:firstLine="640"/>
        <w:jc w:val="both"/>
        <w:outlineLvl w:val="2"/>
      </w:pPr>
      <w:r>
        <w:rPr>
          <w:rFonts w:ascii="黑体" w:hAnsi="黑体" w:eastAsia="黑体"/>
          <w:sz w:val="32"/>
        </w:rPr>
        <w:t>二、机构设置及人员情况</w:t>
      </w:r>
    </w:p>
    <w:p w14:paraId="2C764303">
      <w:pPr>
        <w:spacing w:line="580" w:lineRule="exact"/>
        <w:ind w:firstLine="640"/>
        <w:jc w:val="both"/>
      </w:pPr>
      <w:r>
        <w:rPr>
          <w:rFonts w:ascii="仿宋_GB2312" w:hAnsi="仿宋_GB2312" w:eastAsia="仿宋_GB2312"/>
          <w:sz w:val="32"/>
        </w:rPr>
        <w:t>中共阿图什市哈拉峻乡委员会2024年度，实有人数16人，其中：在职人员15人，减少1人；离休人员0人，增加0人；退休人员1人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14:paraId="0AACC487">
      <w:pPr>
        <w:spacing w:line="580" w:lineRule="exact"/>
        <w:ind w:firstLine="640"/>
        <w:jc w:val="both"/>
      </w:pPr>
      <w:r>
        <w:rPr>
          <w:rFonts w:ascii="仿宋_GB2312" w:hAnsi="仿宋_GB2312" w:eastAsia="仿宋_GB2312"/>
          <w:sz w:val="32"/>
        </w:rPr>
        <w:t>中共阿图什市哈拉峻乡委员会无下属预算单位，下设4个科室，分别是：党办、综治办、宣传办、团委办。</w:t>
      </w:r>
    </w:p>
    <w:p w14:paraId="1986D342">
      <w:r>
        <w:br w:type="page"/>
      </w:r>
    </w:p>
    <w:p w14:paraId="4501DE3F">
      <w:pPr>
        <w:spacing w:line="240" w:lineRule="auto"/>
        <w:jc w:val="center"/>
        <w:outlineLvl w:val="1"/>
      </w:pPr>
      <w:r>
        <w:rPr>
          <w:rFonts w:ascii="黑体" w:hAnsi="黑体" w:eastAsia="黑体"/>
          <w:sz w:val="32"/>
        </w:rPr>
        <w:t>第二部分 部门决算情况说明</w:t>
      </w:r>
    </w:p>
    <w:p w14:paraId="643B09E1">
      <w:pPr>
        <w:spacing w:line="640" w:lineRule="exact"/>
        <w:ind w:firstLine="640"/>
        <w:jc w:val="both"/>
        <w:outlineLvl w:val="2"/>
      </w:pPr>
      <w:r>
        <w:rPr>
          <w:rFonts w:ascii="黑体" w:hAnsi="黑体" w:eastAsia="黑体"/>
          <w:sz w:val="32"/>
        </w:rPr>
        <w:t>一、收入支出决算总体情况说明</w:t>
      </w:r>
    </w:p>
    <w:p w14:paraId="7A839AE5">
      <w:pPr>
        <w:spacing w:line="580" w:lineRule="exact"/>
        <w:ind w:firstLine="640"/>
        <w:jc w:val="both"/>
      </w:pPr>
      <w:r>
        <w:rPr>
          <w:rFonts w:ascii="仿宋_GB2312" w:hAnsi="仿宋_GB2312" w:eastAsia="仿宋_GB2312"/>
          <w:b/>
          <w:sz w:val="32"/>
        </w:rPr>
        <w:t>2024年度收入总计181.27万元，</w:t>
      </w:r>
      <w:r>
        <w:rPr>
          <w:rFonts w:ascii="仿宋_GB2312" w:hAnsi="仿宋_GB2312" w:eastAsia="仿宋_GB2312"/>
          <w:b w:val="0"/>
          <w:sz w:val="32"/>
        </w:rPr>
        <w:t>其中：本年收入合计181.27万元，使用非财政拨款结余（含专用结余）0.00万元，年初结转和结余0.00万元。</w:t>
      </w:r>
    </w:p>
    <w:p w14:paraId="28E49B6F">
      <w:pPr>
        <w:spacing w:line="580" w:lineRule="exact"/>
        <w:ind w:firstLine="640"/>
        <w:jc w:val="both"/>
      </w:pPr>
      <w:r>
        <w:rPr>
          <w:rFonts w:ascii="仿宋_GB2312" w:hAnsi="仿宋_GB2312" w:eastAsia="仿宋_GB2312"/>
          <w:b/>
          <w:sz w:val="32"/>
        </w:rPr>
        <w:t>2024年度支出总计181.27万元，</w:t>
      </w:r>
      <w:r>
        <w:rPr>
          <w:rFonts w:ascii="仿宋_GB2312" w:hAnsi="仿宋_GB2312" w:eastAsia="仿宋_GB2312"/>
          <w:b w:val="0"/>
          <w:sz w:val="32"/>
        </w:rPr>
        <w:t>其中：本年支出合计181.27万元，结余分配0.00万元，年末结转和结余0.00万元。</w:t>
      </w:r>
    </w:p>
    <w:p w14:paraId="7C5EC6C9">
      <w:pPr>
        <w:spacing w:line="580" w:lineRule="exact"/>
        <w:ind w:firstLine="640"/>
        <w:jc w:val="both"/>
      </w:pPr>
      <w:r>
        <w:rPr>
          <w:rFonts w:ascii="仿宋_GB2312" w:hAnsi="仿宋_GB2312" w:eastAsia="仿宋_GB2312"/>
          <w:b w:val="0"/>
          <w:sz w:val="32"/>
        </w:rPr>
        <w:t>收入支出总体与上年相比，减少25.22万元，下降12.21%，主要原因是：本年在职人员减少，相关人员经费较上年减少。</w:t>
      </w:r>
    </w:p>
    <w:p w14:paraId="7F8CBB0C">
      <w:pPr>
        <w:spacing w:line="640" w:lineRule="exact"/>
        <w:ind w:firstLine="640"/>
        <w:jc w:val="both"/>
        <w:outlineLvl w:val="2"/>
      </w:pPr>
      <w:r>
        <w:rPr>
          <w:rFonts w:ascii="黑体" w:hAnsi="黑体" w:eastAsia="黑体"/>
          <w:sz w:val="32"/>
        </w:rPr>
        <w:t>二、收入决算情况说明</w:t>
      </w:r>
    </w:p>
    <w:p w14:paraId="011FE790">
      <w:pPr>
        <w:spacing w:line="580" w:lineRule="exact"/>
        <w:ind w:firstLine="640"/>
        <w:jc w:val="both"/>
      </w:pPr>
      <w:r>
        <w:rPr>
          <w:rFonts w:ascii="仿宋_GB2312" w:hAnsi="仿宋_GB2312" w:eastAsia="仿宋_GB2312"/>
          <w:b/>
          <w:sz w:val="32"/>
        </w:rPr>
        <w:t>本年收入181.27万元，</w:t>
      </w:r>
      <w:r>
        <w:rPr>
          <w:rFonts w:ascii="仿宋_GB2312" w:hAnsi="仿宋_GB2312" w:eastAsia="仿宋_GB2312"/>
          <w:b w:val="0"/>
          <w:sz w:val="32"/>
        </w:rPr>
        <w:t>其中：财政拨款收入181.27万元，占100.00%；上级补助收入0.00万元，占0.00%；事业收入0.00万元，占0.00%；经营收入0.00万元，占0.00%；附属单位上缴收入0.00万元，占0.00%；其他收入0.00万元，占0.00%。</w:t>
      </w:r>
    </w:p>
    <w:p w14:paraId="3B902574">
      <w:pPr>
        <w:spacing w:line="640" w:lineRule="exact"/>
        <w:ind w:firstLine="640"/>
        <w:jc w:val="both"/>
        <w:outlineLvl w:val="2"/>
      </w:pPr>
      <w:r>
        <w:rPr>
          <w:rFonts w:ascii="黑体" w:hAnsi="黑体" w:eastAsia="黑体"/>
          <w:sz w:val="32"/>
        </w:rPr>
        <w:t>三、支出决算情况说明</w:t>
      </w:r>
    </w:p>
    <w:p w14:paraId="3CD768F5">
      <w:pPr>
        <w:spacing w:line="580" w:lineRule="exact"/>
        <w:ind w:firstLine="640"/>
        <w:jc w:val="both"/>
      </w:pPr>
      <w:r>
        <w:rPr>
          <w:rFonts w:ascii="仿宋_GB2312" w:hAnsi="仿宋_GB2312" w:eastAsia="仿宋_GB2312"/>
          <w:b/>
          <w:sz w:val="32"/>
        </w:rPr>
        <w:t>本年支出181.27万元，</w:t>
      </w:r>
      <w:r>
        <w:rPr>
          <w:rFonts w:ascii="仿宋_GB2312" w:hAnsi="仿宋_GB2312" w:eastAsia="仿宋_GB2312"/>
          <w:b w:val="0"/>
          <w:sz w:val="32"/>
        </w:rPr>
        <w:t>其中：基本支出181.27万元，占100.00%；项目支出0.00万元，占0.00%；上缴上级支出0.00万元，占0.00%；经营支出0.00万元，占0.00%；对附属单位补助支出0.00万元，占0.00%。</w:t>
      </w:r>
    </w:p>
    <w:p w14:paraId="273361A6">
      <w:pPr>
        <w:spacing w:line="640" w:lineRule="exact"/>
        <w:ind w:firstLine="640"/>
        <w:jc w:val="both"/>
        <w:outlineLvl w:val="2"/>
      </w:pPr>
      <w:r>
        <w:rPr>
          <w:rFonts w:ascii="黑体" w:hAnsi="黑体" w:eastAsia="黑体"/>
          <w:sz w:val="32"/>
        </w:rPr>
        <w:t>四、财政拨款收入支出决算总体情况说明</w:t>
      </w:r>
    </w:p>
    <w:p w14:paraId="2CD65A84">
      <w:pPr>
        <w:spacing w:line="580" w:lineRule="exact"/>
        <w:ind w:firstLine="640"/>
        <w:jc w:val="both"/>
      </w:pPr>
      <w:r>
        <w:rPr>
          <w:rFonts w:ascii="仿宋_GB2312" w:hAnsi="仿宋_GB2312" w:eastAsia="仿宋_GB2312"/>
          <w:b/>
          <w:sz w:val="32"/>
        </w:rPr>
        <w:t>2024年度财政拨款收入总计181.27万元，</w:t>
      </w:r>
      <w:r>
        <w:rPr>
          <w:rFonts w:ascii="仿宋_GB2312" w:hAnsi="仿宋_GB2312" w:eastAsia="仿宋_GB2312"/>
          <w:b w:val="0"/>
          <w:sz w:val="32"/>
        </w:rPr>
        <w:t>其中：年初财政拨款结转和结余0.00万元，本年财政拨款收入181.27万元。</w:t>
      </w:r>
      <w:r>
        <w:rPr>
          <w:rFonts w:ascii="仿宋_GB2312" w:hAnsi="仿宋_GB2312" w:eastAsia="仿宋_GB2312"/>
          <w:b/>
          <w:sz w:val="32"/>
        </w:rPr>
        <w:t>财政拨款支出总计181.27万元，</w:t>
      </w:r>
      <w:r>
        <w:rPr>
          <w:rFonts w:ascii="仿宋_GB2312" w:hAnsi="仿宋_GB2312" w:eastAsia="仿宋_GB2312"/>
          <w:b w:val="0"/>
          <w:sz w:val="32"/>
        </w:rPr>
        <w:t>其中：年末财政拨款结转和结余0.00万元，本年财政拨款支出181.27万元。</w:t>
      </w:r>
    </w:p>
    <w:p w14:paraId="5B7DB3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减少25.22万元，下降12.21%，主要原因是：本年在职人员减少，相关人员经费较上年减少。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年初预算数200.03万元，决算数181.27万元，预决算差异率-9.38%，主要原因是：本年在职人员减少，年中调减人员经费，导致预决算存在差异。</w:t>
      </w:r>
    </w:p>
    <w:p w14:paraId="47257821">
      <w:pPr>
        <w:spacing w:line="640" w:lineRule="exact"/>
        <w:ind w:firstLine="640"/>
        <w:jc w:val="both"/>
        <w:outlineLvl w:val="2"/>
      </w:pPr>
      <w:r>
        <w:rPr>
          <w:rFonts w:ascii="黑体" w:hAnsi="黑体" w:eastAsia="黑体"/>
          <w:sz w:val="32"/>
        </w:rPr>
        <w:t>五、一般公共预算财政拨款支出决算情况说明</w:t>
      </w:r>
    </w:p>
    <w:p w14:paraId="22041391">
      <w:pPr>
        <w:spacing w:line="640" w:lineRule="exact"/>
        <w:ind w:firstLine="640"/>
        <w:jc w:val="both"/>
        <w:outlineLvl w:val="3"/>
      </w:pPr>
      <w:r>
        <w:rPr>
          <w:rFonts w:ascii="楷体_GB2312" w:hAnsi="楷体_GB2312" w:eastAsia="楷体_GB2312"/>
          <w:b/>
          <w:sz w:val="32"/>
        </w:rPr>
        <w:t>（一）一般公共预算财政拨款支出决算总体情况</w:t>
      </w:r>
    </w:p>
    <w:p w14:paraId="3CA54376">
      <w:pPr>
        <w:spacing w:line="580" w:lineRule="exact"/>
        <w:ind w:firstLine="640"/>
        <w:jc w:val="both"/>
      </w:pPr>
      <w:r>
        <w:rPr>
          <w:rFonts w:ascii="仿宋_GB2312" w:hAnsi="仿宋_GB2312" w:eastAsia="仿宋_GB2312"/>
          <w:b/>
          <w:sz w:val="32"/>
        </w:rPr>
        <w:t>2024年度一般公共预算财政拨款支出181.27万元，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减少25.22万元，下降12.21%，主要原因是：本年在职人员减少，相关人员经费较上年减少。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年初预算数200.03万元，决算数181.27万元，预决算差异率-9.38%，主要原因是：本年在职人员减少，年中调减人员经费，导致预决算存在差异。</w:t>
      </w:r>
    </w:p>
    <w:p w14:paraId="026536FE">
      <w:pPr>
        <w:spacing w:line="640" w:lineRule="exact"/>
        <w:ind w:firstLine="640"/>
        <w:jc w:val="both"/>
        <w:outlineLvl w:val="3"/>
      </w:pPr>
      <w:r>
        <w:rPr>
          <w:rFonts w:ascii="楷体_GB2312" w:hAnsi="楷体_GB2312" w:eastAsia="楷体_GB2312"/>
          <w:b/>
          <w:sz w:val="32"/>
        </w:rPr>
        <w:t>（二）一般公共预算财政拨款支出决算结构情况</w:t>
      </w:r>
    </w:p>
    <w:p w14:paraId="333254CC">
      <w:pPr>
        <w:spacing w:line="580" w:lineRule="exact"/>
        <w:ind w:firstLine="640"/>
        <w:jc w:val="both"/>
      </w:pPr>
      <w:r>
        <w:rPr>
          <w:rFonts w:ascii="仿宋_GB2312" w:hAnsi="仿宋_GB2312" w:eastAsia="仿宋_GB2312"/>
          <w:b w:val="0"/>
          <w:sz w:val="32"/>
        </w:rPr>
        <w:t>1.一般公共服务支出(类)164.71万元</w:t>
      </w:r>
      <w:r>
        <w:rPr>
          <w:rFonts w:hint="eastAsia" w:ascii="仿宋_GB2312" w:hAnsi="仿宋_GB2312" w:eastAsia="仿宋_GB2312"/>
          <w:b w:val="0"/>
          <w:sz w:val="32"/>
          <w:lang w:eastAsia="zh-CN"/>
        </w:rPr>
        <w:t>，</w:t>
      </w:r>
      <w:r>
        <w:rPr>
          <w:rFonts w:ascii="仿宋_GB2312" w:hAnsi="仿宋_GB2312" w:eastAsia="仿宋_GB2312"/>
          <w:b w:val="0"/>
          <w:sz w:val="32"/>
        </w:rPr>
        <w:t>占90.86%。</w:t>
      </w:r>
    </w:p>
    <w:p w14:paraId="08ABD434">
      <w:pPr>
        <w:spacing w:line="580" w:lineRule="exact"/>
        <w:ind w:firstLine="640"/>
        <w:jc w:val="both"/>
      </w:pPr>
      <w:r>
        <w:rPr>
          <w:rFonts w:ascii="仿宋_GB2312" w:hAnsi="仿宋_GB2312" w:eastAsia="仿宋_GB2312"/>
          <w:b w:val="0"/>
          <w:sz w:val="32"/>
        </w:rPr>
        <w:t>2.社会保障和就业支出(类)7.82万元</w:t>
      </w:r>
      <w:r>
        <w:rPr>
          <w:rFonts w:hint="eastAsia" w:ascii="仿宋_GB2312" w:hAnsi="仿宋_GB2312" w:eastAsia="仿宋_GB2312"/>
          <w:b w:val="0"/>
          <w:sz w:val="32"/>
          <w:lang w:eastAsia="zh-CN"/>
        </w:rPr>
        <w:t>，</w:t>
      </w:r>
      <w:r>
        <w:rPr>
          <w:rFonts w:ascii="仿宋_GB2312" w:hAnsi="仿宋_GB2312" w:eastAsia="仿宋_GB2312"/>
          <w:b w:val="0"/>
          <w:sz w:val="32"/>
        </w:rPr>
        <w:t>占4.31%。</w:t>
      </w:r>
    </w:p>
    <w:p w14:paraId="63315EED">
      <w:pPr>
        <w:spacing w:line="580" w:lineRule="exact"/>
        <w:ind w:firstLine="640"/>
        <w:jc w:val="both"/>
      </w:pPr>
      <w:r>
        <w:rPr>
          <w:rFonts w:ascii="仿宋_GB2312" w:hAnsi="仿宋_GB2312" w:eastAsia="仿宋_GB2312"/>
          <w:b w:val="0"/>
          <w:sz w:val="32"/>
        </w:rPr>
        <w:t>3.卫生健康支出(类)2.76万元</w:t>
      </w:r>
      <w:r>
        <w:rPr>
          <w:rFonts w:hint="eastAsia" w:ascii="仿宋_GB2312" w:hAnsi="仿宋_GB2312" w:eastAsia="仿宋_GB2312"/>
          <w:b w:val="0"/>
          <w:sz w:val="32"/>
          <w:lang w:eastAsia="zh-CN"/>
        </w:rPr>
        <w:t>，</w:t>
      </w:r>
      <w:r>
        <w:rPr>
          <w:rFonts w:ascii="仿宋_GB2312" w:hAnsi="仿宋_GB2312" w:eastAsia="仿宋_GB2312"/>
          <w:b w:val="0"/>
          <w:sz w:val="32"/>
        </w:rPr>
        <w:t>占1.52%。</w:t>
      </w:r>
    </w:p>
    <w:p w14:paraId="3090B507">
      <w:pPr>
        <w:spacing w:line="580" w:lineRule="exact"/>
        <w:ind w:firstLine="640"/>
        <w:jc w:val="both"/>
      </w:pPr>
      <w:r>
        <w:rPr>
          <w:rFonts w:ascii="仿宋_GB2312" w:hAnsi="仿宋_GB2312" w:eastAsia="仿宋_GB2312"/>
          <w:b w:val="0"/>
          <w:sz w:val="32"/>
        </w:rPr>
        <w:t>4.住房保障支出(类)5.97万元</w:t>
      </w:r>
      <w:r>
        <w:rPr>
          <w:rFonts w:hint="eastAsia" w:ascii="仿宋_GB2312" w:hAnsi="仿宋_GB2312" w:eastAsia="仿宋_GB2312"/>
          <w:b w:val="0"/>
          <w:sz w:val="32"/>
          <w:lang w:eastAsia="zh-CN"/>
        </w:rPr>
        <w:t>，</w:t>
      </w:r>
      <w:r>
        <w:rPr>
          <w:rFonts w:ascii="仿宋_GB2312" w:hAnsi="仿宋_GB2312" w:eastAsia="仿宋_GB2312"/>
          <w:b w:val="0"/>
          <w:sz w:val="32"/>
        </w:rPr>
        <w:t>占3.29%。</w:t>
      </w:r>
    </w:p>
    <w:p w14:paraId="35FEE173">
      <w:pPr>
        <w:spacing w:line="640" w:lineRule="exact"/>
        <w:ind w:firstLine="640"/>
        <w:jc w:val="both"/>
        <w:outlineLvl w:val="3"/>
      </w:pPr>
      <w:r>
        <w:rPr>
          <w:rFonts w:ascii="楷体_GB2312" w:hAnsi="楷体_GB2312" w:eastAsia="楷体_GB2312"/>
          <w:b/>
          <w:sz w:val="32"/>
        </w:rPr>
        <w:t>（三）一般公共预算财政拨款支出决算具体情况</w:t>
      </w:r>
    </w:p>
    <w:p w14:paraId="1715AE97">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支出决算数为53.72万元，比上年决算减少130.03万元，下降70.76%</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主要原因是：本单位本年度机构制度改革以后，人员重新定岗定责划分，部分人员经费由行政运行科目调整至事业运行科目列支，导致此科目经费减少。</w:t>
      </w:r>
    </w:p>
    <w:p w14:paraId="079F4BAD">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支出决算数为111.00万元，比上年决算增加111.00万元，增长100.00%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主要原因是：本单位本年度机构制度改革以后，人员重新定岗定责划分，部分人员经费由行政运行科目调整至事业运行科目列支，导致此科目经费增加。</w:t>
      </w:r>
    </w:p>
    <w:p w14:paraId="0C1A6EBC">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支出决算数为1.06万元，比上年决算增加0.68万元，增长178.95%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7993520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支出决算数为6.76万元，比上年决算减少1.04万元，下降13.33%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14:paraId="388AB53F">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支出决算数为0.00万元，比上年决算减少5.35万元，下降100.00%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主要原因是：本年无新增退休人员，职业年金缴费较上年减少。</w:t>
      </w:r>
    </w:p>
    <w:p w14:paraId="440230B0">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支出决算数为2.76万元，比上年决算减少0.27万元，下降8.91%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主要原因是：本年在职人员减少，行政单位医疗支出较上年减少。</w:t>
      </w:r>
    </w:p>
    <w:p w14:paraId="4AA5AB3F">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支出决算数为5.97万元，比上年决算减少0.20万元，下降3.24%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14:paraId="2AF72F8B">
      <w:pPr>
        <w:spacing w:line="640" w:lineRule="exact"/>
        <w:ind w:firstLine="640"/>
        <w:jc w:val="both"/>
        <w:outlineLvl w:val="2"/>
      </w:pPr>
      <w:r>
        <w:rPr>
          <w:rFonts w:ascii="黑体" w:hAnsi="黑体" w:eastAsia="黑体"/>
          <w:sz w:val="32"/>
        </w:rPr>
        <w:t>六、一般公共预算财政拨款基本支出决算情况说明</w:t>
      </w:r>
    </w:p>
    <w:p w14:paraId="25769BFA">
      <w:pPr>
        <w:spacing w:line="580" w:lineRule="exact"/>
        <w:ind w:firstLine="640"/>
        <w:jc w:val="both"/>
      </w:pPr>
      <w:r>
        <w:rPr>
          <w:rFonts w:ascii="仿宋_GB2312" w:hAnsi="仿宋_GB2312" w:eastAsia="仿宋_GB2312"/>
          <w:b w:val="0"/>
          <w:sz w:val="32"/>
        </w:rPr>
        <w:t>2024年度一般公共预算财政拨款基本支出181.27万元，其中：</w:t>
      </w:r>
      <w:r>
        <w:rPr>
          <w:rFonts w:ascii="仿宋_GB2312" w:hAnsi="仿宋_GB2312" w:eastAsia="仿宋_GB2312"/>
          <w:b/>
          <w:sz w:val="32"/>
        </w:rPr>
        <w:t>人员经费180.67万元，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585DE0FD">
      <w:pPr>
        <w:spacing w:line="580" w:lineRule="exact"/>
        <w:ind w:firstLine="640"/>
        <w:jc w:val="both"/>
      </w:pPr>
      <w:r>
        <w:rPr>
          <w:rFonts w:ascii="仿宋_GB2312" w:hAnsi="仿宋_GB2312" w:eastAsia="仿宋_GB2312"/>
          <w:b/>
          <w:sz w:val="32"/>
        </w:rPr>
        <w:t>公用经费0.60万元，</w:t>
      </w:r>
      <w:r>
        <w:rPr>
          <w:rFonts w:ascii="仿宋_GB2312" w:hAnsi="仿宋_GB2312" w:eastAsia="仿宋_GB2312"/>
          <w:b w:val="0"/>
          <w:sz w:val="32"/>
        </w:rPr>
        <w:t>包括：办公费、邮电费。</w:t>
      </w:r>
    </w:p>
    <w:p w14:paraId="65F7017B">
      <w:pPr>
        <w:spacing w:line="640" w:lineRule="exact"/>
        <w:ind w:firstLine="640"/>
        <w:jc w:val="both"/>
        <w:outlineLvl w:val="2"/>
      </w:pPr>
      <w:r>
        <w:rPr>
          <w:rFonts w:ascii="黑体" w:hAnsi="黑体" w:eastAsia="黑体"/>
          <w:sz w:val="32"/>
        </w:rPr>
        <w:t>七、政府性基金预算财政拨款收入支出决算情况说明</w:t>
      </w:r>
    </w:p>
    <w:p w14:paraId="5BD825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EDE23C">
      <w:pPr>
        <w:spacing w:line="640" w:lineRule="exact"/>
        <w:ind w:firstLine="640"/>
        <w:jc w:val="both"/>
        <w:outlineLvl w:val="2"/>
      </w:pPr>
      <w:r>
        <w:rPr>
          <w:rFonts w:ascii="黑体" w:hAnsi="黑体" w:eastAsia="黑体"/>
          <w:sz w:val="32"/>
        </w:rPr>
        <w:t>八、国有资本经营预算财政拨款收入支出决算情况说明</w:t>
      </w:r>
    </w:p>
    <w:p w14:paraId="40432EA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5AC9F5">
      <w:pPr>
        <w:spacing w:line="640" w:lineRule="exact"/>
        <w:ind w:firstLine="640"/>
        <w:jc w:val="both"/>
        <w:outlineLvl w:val="2"/>
      </w:pPr>
      <w:r>
        <w:rPr>
          <w:rFonts w:ascii="黑体" w:hAnsi="黑体" w:eastAsia="黑体"/>
          <w:sz w:val="32"/>
        </w:rPr>
        <w:t>九、财政拨款“三公”经费支出决算情况说明</w:t>
      </w:r>
    </w:p>
    <w:p w14:paraId="4C2D2AD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3CAEFDA">
      <w:pPr>
        <w:spacing w:line="580" w:lineRule="exact"/>
        <w:ind w:firstLine="640"/>
        <w:jc w:val="both"/>
      </w:pPr>
      <w:r>
        <w:rPr>
          <w:rFonts w:ascii="仿宋_GB2312" w:hAnsi="仿宋_GB2312" w:eastAsia="仿宋_GB2312"/>
          <w:b/>
          <w:sz w:val="32"/>
        </w:rPr>
        <w:t>具体情况如下：</w:t>
      </w:r>
    </w:p>
    <w:p w14:paraId="2D423E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AE7A50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9FC4EB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6A0683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1DE3E68">
      <w:pPr>
        <w:spacing w:line="640" w:lineRule="exact"/>
        <w:ind w:firstLine="640"/>
        <w:jc w:val="both"/>
        <w:outlineLvl w:val="2"/>
      </w:pPr>
      <w:r>
        <w:rPr>
          <w:rFonts w:ascii="黑体" w:hAnsi="黑体" w:eastAsia="黑体"/>
          <w:sz w:val="32"/>
        </w:rPr>
        <w:t>十、其他重要事项的情况说明</w:t>
      </w:r>
    </w:p>
    <w:p w14:paraId="7E14AF86">
      <w:pPr>
        <w:spacing w:line="640" w:lineRule="exact"/>
        <w:ind w:firstLine="640"/>
        <w:jc w:val="both"/>
        <w:outlineLvl w:val="3"/>
      </w:pPr>
      <w:r>
        <w:rPr>
          <w:rFonts w:ascii="楷体_GB2312" w:hAnsi="楷体_GB2312" w:eastAsia="楷体_GB2312"/>
          <w:b/>
          <w:sz w:val="32"/>
        </w:rPr>
        <w:t>（一）机关运行经费及公用经费支出情况</w:t>
      </w:r>
    </w:p>
    <w:p w14:paraId="1C787791">
      <w:pPr>
        <w:spacing w:line="580" w:lineRule="exact"/>
        <w:ind w:firstLine="640"/>
        <w:jc w:val="both"/>
      </w:pPr>
      <w:r>
        <w:rPr>
          <w:rFonts w:ascii="仿宋_GB2312" w:hAnsi="仿宋_GB2312" w:eastAsia="仿宋_GB2312"/>
          <w:b w:val="0"/>
          <w:sz w:val="32"/>
        </w:rPr>
        <w:t>2024年度中共阿图什市哈拉峻乡委员会（事业单位）公用经费支出0.60万元，比上年减少0.15万元，下降20.00%，主要原因是：本年减少电费，导致公用经费</w:t>
      </w:r>
      <w:r>
        <w:rPr>
          <w:rFonts w:hint="eastAsia" w:ascii="仿宋_GB2312" w:hAnsi="仿宋_GB2312" w:eastAsia="仿宋_GB2312"/>
          <w:b w:val="0"/>
          <w:sz w:val="32"/>
          <w:lang w:val="en-US" w:eastAsia="zh-CN"/>
        </w:rPr>
        <w:t>支出</w:t>
      </w:r>
      <w:bookmarkStart w:id="0" w:name="_GoBack"/>
      <w:bookmarkEnd w:id="0"/>
      <w:r>
        <w:rPr>
          <w:rFonts w:ascii="仿宋_GB2312" w:hAnsi="仿宋_GB2312" w:eastAsia="仿宋_GB2312"/>
          <w:b w:val="0"/>
          <w:sz w:val="32"/>
        </w:rPr>
        <w:t>减少。</w:t>
      </w:r>
    </w:p>
    <w:p w14:paraId="06336D0B">
      <w:pPr>
        <w:spacing w:line="640" w:lineRule="exact"/>
        <w:ind w:firstLine="640"/>
        <w:jc w:val="both"/>
        <w:outlineLvl w:val="3"/>
      </w:pPr>
      <w:r>
        <w:rPr>
          <w:rFonts w:ascii="楷体_GB2312" w:hAnsi="楷体_GB2312" w:eastAsia="楷体_GB2312"/>
          <w:b/>
          <w:sz w:val="32"/>
        </w:rPr>
        <w:t>（二）政府采购情况</w:t>
      </w:r>
    </w:p>
    <w:p w14:paraId="6DEE07E4">
      <w:pPr>
        <w:spacing w:line="580" w:lineRule="exact"/>
        <w:ind w:firstLine="640"/>
        <w:jc w:val="both"/>
      </w:pPr>
      <w:r>
        <w:rPr>
          <w:rFonts w:ascii="仿宋_GB2312" w:hAnsi="仿宋_GB2312" w:eastAsia="仿宋_GB2312"/>
          <w:b w:val="0"/>
          <w:sz w:val="32"/>
        </w:rPr>
        <w:t>2024年度政府采购支出总额0.60万元，其中：政府采购货物支出0.60万元、政府采购工程支出0.00万元、政府采购服务支出0.00万元。</w:t>
      </w:r>
    </w:p>
    <w:p w14:paraId="1FBAFC29">
      <w:pPr>
        <w:spacing w:line="580" w:lineRule="exact"/>
        <w:ind w:firstLine="640"/>
        <w:jc w:val="both"/>
      </w:pPr>
      <w:r>
        <w:rPr>
          <w:rFonts w:ascii="仿宋_GB2312" w:hAnsi="仿宋_GB2312" w:eastAsia="仿宋_GB2312"/>
          <w:b w:val="0"/>
          <w:sz w:val="32"/>
        </w:rPr>
        <w:t>授予中小企业合同金额0.60万元，占政府采购支出总额的100.00%，其中：授予小微企业合同金额0.60万元，占政府采购支出总额的100.00%。</w:t>
      </w:r>
    </w:p>
    <w:p w14:paraId="152633C7">
      <w:pPr>
        <w:spacing w:line="640" w:lineRule="exact"/>
        <w:ind w:firstLine="640"/>
        <w:jc w:val="both"/>
        <w:outlineLvl w:val="3"/>
      </w:pPr>
      <w:r>
        <w:rPr>
          <w:rFonts w:ascii="楷体_GB2312" w:hAnsi="楷体_GB2312" w:eastAsia="楷体_GB2312"/>
          <w:b/>
          <w:sz w:val="32"/>
        </w:rPr>
        <w:t>（三）国有资产占用情况说明</w:t>
      </w:r>
    </w:p>
    <w:p w14:paraId="612E5EE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C5BE471">
      <w:pPr>
        <w:spacing w:line="640" w:lineRule="exact"/>
        <w:ind w:firstLine="640"/>
        <w:jc w:val="both"/>
        <w:outlineLvl w:val="2"/>
      </w:pPr>
      <w:r>
        <w:rPr>
          <w:rFonts w:ascii="黑体" w:hAnsi="黑体" w:eastAsia="黑体"/>
          <w:sz w:val="32"/>
        </w:rPr>
        <w:t>十一、预算绩效的情况说明</w:t>
      </w:r>
    </w:p>
    <w:p w14:paraId="4FBEBE60">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3B8F64E0">
      <w:r>
        <w:br w:type="page"/>
      </w:r>
    </w:p>
    <w:p w14:paraId="51BDC431">
      <w:pPr>
        <w:spacing w:line="640" w:lineRule="exact"/>
        <w:ind w:firstLine="640"/>
        <w:jc w:val="both"/>
        <w:outlineLvl w:val="2"/>
      </w:pPr>
      <w:r>
        <w:rPr>
          <w:rFonts w:ascii="黑体" w:hAnsi="黑体" w:eastAsia="黑体"/>
          <w:sz w:val="32"/>
        </w:rPr>
        <w:t>十二、其他需说明的事项</w:t>
      </w:r>
    </w:p>
    <w:p w14:paraId="4A98D98F">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14:paraId="49FE7F09">
      <w:r>
        <w:br w:type="page"/>
      </w:r>
    </w:p>
    <w:p w14:paraId="07D236F9">
      <w:pPr>
        <w:spacing w:line="240" w:lineRule="auto"/>
        <w:jc w:val="center"/>
        <w:outlineLvl w:val="1"/>
      </w:pPr>
      <w:r>
        <w:rPr>
          <w:rFonts w:ascii="黑体" w:hAnsi="黑体" w:eastAsia="黑体"/>
          <w:sz w:val="32"/>
        </w:rPr>
        <w:t>第三部分 专业名词解释</w:t>
      </w:r>
    </w:p>
    <w:p w14:paraId="2B02819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E76DB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3F1B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39A92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5FB8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2053A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9ECF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91421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B0CF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49C4EC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DBE8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FED1A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041C02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7BC5D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029D500">
      <w:r>
        <w:br w:type="page"/>
      </w:r>
    </w:p>
    <w:p w14:paraId="15584032">
      <w:pPr>
        <w:spacing w:line="240" w:lineRule="auto"/>
        <w:jc w:val="center"/>
        <w:outlineLvl w:val="1"/>
      </w:pPr>
      <w:r>
        <w:rPr>
          <w:rFonts w:ascii="黑体" w:hAnsi="黑体" w:eastAsia="黑体"/>
          <w:sz w:val="32"/>
        </w:rPr>
        <w:t>第四部分 部门决算报表（见附表）</w:t>
      </w:r>
    </w:p>
    <w:p w14:paraId="4857DE81">
      <w:pPr>
        <w:spacing w:line="240" w:lineRule="auto"/>
        <w:ind w:firstLine="640"/>
        <w:jc w:val="both"/>
      </w:pPr>
      <w:r>
        <w:rPr>
          <w:rFonts w:ascii="仿宋_GB2312" w:hAnsi="仿宋_GB2312" w:eastAsia="仿宋_GB2312"/>
          <w:b w:val="0"/>
          <w:sz w:val="32"/>
        </w:rPr>
        <w:t>一、《收入支出决算总表》</w:t>
      </w:r>
    </w:p>
    <w:p w14:paraId="29DED370">
      <w:pPr>
        <w:spacing w:line="240" w:lineRule="auto"/>
        <w:ind w:firstLine="640"/>
        <w:jc w:val="both"/>
      </w:pPr>
      <w:r>
        <w:rPr>
          <w:rFonts w:ascii="仿宋_GB2312" w:hAnsi="仿宋_GB2312" w:eastAsia="仿宋_GB2312"/>
          <w:b w:val="0"/>
          <w:sz w:val="32"/>
        </w:rPr>
        <w:t>二、《收入决算表》</w:t>
      </w:r>
    </w:p>
    <w:p w14:paraId="6D257BCA">
      <w:pPr>
        <w:spacing w:line="240" w:lineRule="auto"/>
        <w:ind w:firstLine="640"/>
        <w:jc w:val="both"/>
      </w:pPr>
      <w:r>
        <w:rPr>
          <w:rFonts w:ascii="仿宋_GB2312" w:hAnsi="仿宋_GB2312" w:eastAsia="仿宋_GB2312"/>
          <w:b w:val="0"/>
          <w:sz w:val="32"/>
        </w:rPr>
        <w:t>三、《支出决算表》</w:t>
      </w:r>
    </w:p>
    <w:p w14:paraId="7696E37E">
      <w:pPr>
        <w:spacing w:line="240" w:lineRule="auto"/>
        <w:ind w:firstLine="640"/>
        <w:jc w:val="both"/>
      </w:pPr>
      <w:r>
        <w:rPr>
          <w:rFonts w:ascii="仿宋_GB2312" w:hAnsi="仿宋_GB2312" w:eastAsia="仿宋_GB2312"/>
          <w:b w:val="0"/>
          <w:sz w:val="32"/>
        </w:rPr>
        <w:t>四、《财政拨款收入支出决算总表》</w:t>
      </w:r>
    </w:p>
    <w:p w14:paraId="52283BCF">
      <w:pPr>
        <w:spacing w:line="240" w:lineRule="auto"/>
        <w:ind w:firstLine="640"/>
        <w:jc w:val="both"/>
      </w:pPr>
      <w:r>
        <w:rPr>
          <w:rFonts w:ascii="仿宋_GB2312" w:hAnsi="仿宋_GB2312" w:eastAsia="仿宋_GB2312"/>
          <w:b w:val="0"/>
          <w:sz w:val="32"/>
        </w:rPr>
        <w:t>五、《一般公共预算财政拨款支出决算表》</w:t>
      </w:r>
    </w:p>
    <w:p w14:paraId="188F1EA3">
      <w:pPr>
        <w:spacing w:line="240" w:lineRule="auto"/>
        <w:ind w:firstLine="640"/>
        <w:jc w:val="both"/>
      </w:pPr>
      <w:r>
        <w:rPr>
          <w:rFonts w:ascii="仿宋_GB2312" w:hAnsi="仿宋_GB2312" w:eastAsia="仿宋_GB2312"/>
          <w:b w:val="0"/>
          <w:sz w:val="32"/>
        </w:rPr>
        <w:t>六、《一般公共预算财政拨款基本支出决算表》</w:t>
      </w:r>
    </w:p>
    <w:p w14:paraId="322ED685">
      <w:pPr>
        <w:spacing w:line="240" w:lineRule="auto"/>
        <w:ind w:firstLine="640"/>
        <w:jc w:val="both"/>
      </w:pPr>
      <w:r>
        <w:rPr>
          <w:rFonts w:ascii="仿宋_GB2312" w:hAnsi="仿宋_GB2312" w:eastAsia="仿宋_GB2312"/>
          <w:b w:val="0"/>
          <w:sz w:val="32"/>
        </w:rPr>
        <w:t>七、《政府性基金预算财政拨款收入支出决算表》</w:t>
      </w:r>
    </w:p>
    <w:p w14:paraId="6C89831B">
      <w:pPr>
        <w:spacing w:line="240" w:lineRule="auto"/>
        <w:ind w:firstLine="640"/>
        <w:jc w:val="both"/>
      </w:pPr>
      <w:r>
        <w:rPr>
          <w:rFonts w:ascii="仿宋_GB2312" w:hAnsi="仿宋_GB2312" w:eastAsia="仿宋_GB2312"/>
          <w:b w:val="0"/>
          <w:sz w:val="32"/>
        </w:rPr>
        <w:t>八、《国有资本经营预算财政拨款收入支出决算表》</w:t>
      </w:r>
    </w:p>
    <w:p w14:paraId="15C6DCB2">
      <w:pPr>
        <w:spacing w:line="240" w:lineRule="auto"/>
        <w:ind w:firstLine="640"/>
        <w:jc w:val="both"/>
      </w:pPr>
      <w:r>
        <w:rPr>
          <w:rFonts w:ascii="仿宋_GB2312" w:hAnsi="仿宋_GB2312" w:eastAsia="仿宋_GB2312"/>
          <w:b w:val="0"/>
          <w:sz w:val="32"/>
        </w:rPr>
        <w:t>九、《财政拨款“三公”经费支出决算表》</w:t>
      </w:r>
    </w:p>
    <w:p w14:paraId="306A72D5">
      <w:pPr>
        <w:spacing w:line="240" w:lineRule="auto"/>
        <w:ind w:firstLine="640"/>
        <w:jc w:val="both"/>
      </w:pPr>
    </w:p>
    <w:p w14:paraId="611AA09E">
      <w:pPr>
        <w:spacing w:line="240" w:lineRule="auto"/>
        <w:ind w:firstLine="640"/>
        <w:jc w:val="both"/>
      </w:pPr>
    </w:p>
    <w:p w14:paraId="71F62C70">
      <w:pPr>
        <w:spacing w:line="240" w:lineRule="auto"/>
        <w:ind w:firstLine="640"/>
        <w:jc w:val="both"/>
      </w:pPr>
    </w:p>
    <w:p w14:paraId="77209095">
      <w:pPr>
        <w:spacing w:line="240" w:lineRule="auto"/>
        <w:ind w:firstLine="640"/>
        <w:jc w:val="both"/>
      </w:pPr>
    </w:p>
    <w:p w14:paraId="535DCAA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E37CB"/>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2C31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5097</Words>
  <Characters>5698</Characters>
  <Lines>0</Lines>
  <Paragraphs>0</Paragraphs>
  <TotalTime>1</TotalTime>
  <ScaleCrop>false</ScaleCrop>
  <LinksUpToDate>false</LinksUpToDate>
  <CharactersWithSpaces>5708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2025-09-08T09:47:20Z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