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科学技术</w:t>
      </w:r>
      <w:r>
        <w:rPr>
          <w:rFonts w:ascii="仿宋_GB2312" w:hAnsi="仿宋_GB2312" w:eastAsia="仿宋_GB2312"/>
          <w:sz w:val="32"/>
        </w:rPr>
        <w:t>知识和农民致富信息，组织落实节目</w:t>
      </w:r>
      <w:r>
        <w:rPr>
          <w:rFonts w:hint="eastAsia" w:ascii="仿宋_GB2312" w:hAnsi="仿宋_GB2312" w:eastAsia="仿宋_GB2312"/>
          <w:sz w:val="32"/>
          <w:lang w:eastAsia="zh-CN"/>
        </w:rPr>
        <w:t>播出</w:t>
      </w:r>
      <w:r>
        <w:rPr>
          <w:rFonts w:ascii="仿宋_GB2312" w:hAnsi="仿宋_GB2312" w:eastAsia="仿宋_GB2312"/>
          <w:sz w:val="32"/>
        </w:rPr>
        <w:t>，维护广播设备，保证</w:t>
      </w:r>
      <w:r>
        <w:rPr>
          <w:rFonts w:hint="eastAsia" w:ascii="仿宋_GB2312" w:hAnsi="仿宋_GB2312" w:eastAsia="仿宋_GB2312"/>
          <w:sz w:val="32"/>
          <w:lang w:eastAsia="zh-CN"/>
        </w:rPr>
        <w:t>设备</w:t>
      </w:r>
      <w:r>
        <w:rPr>
          <w:rFonts w:ascii="仿宋_GB2312" w:hAnsi="仿宋_GB2312" w:eastAsia="仿宋_GB2312"/>
          <w:sz w:val="32"/>
        </w:rPr>
        <w:t>运行良好，保证广播</w:t>
      </w:r>
      <w:r>
        <w:rPr>
          <w:rFonts w:hint="eastAsia" w:ascii="仿宋_GB2312" w:hAnsi="仿宋_GB2312" w:eastAsia="仿宋_GB2312"/>
          <w:sz w:val="32"/>
          <w:lang w:eastAsia="zh-CN"/>
        </w:rPr>
        <w:t>工作</w:t>
      </w:r>
      <w:r>
        <w:rPr>
          <w:rFonts w:ascii="仿宋_GB2312" w:hAnsi="仿宋_GB2312" w:eastAsia="仿宋_GB2312"/>
          <w:sz w:val="32"/>
        </w:rPr>
        <w:t>正常进行。完成上级业务主管部门和乡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阿图什市上阿图什镇文体广电旅游服务中心2024年度，实有人数34人，其中：在职人员28人，减少4人；离休人员0人，增加0人；退休人员6人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阿图什市上阿图什镇文体广电旅游服务中心无下属预算单位，下设4个科室，分别是：主任办公室、广播室、录音室、文化室。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2024年度收入总计476.09万元，</w:t>
      </w:r>
      <w:r>
        <w:rPr>
          <w:rFonts w:ascii="仿宋_GB2312" w:hAnsi="仿宋_GB2312" w:eastAsia="仿宋_GB2312"/>
          <w:b w:val="0"/>
          <w:sz w:val="32"/>
        </w:rPr>
        <w:t>其中：本年收入合计475.89万元，使用非财政拨款结余（含专用结余）0.00万元，年初结转和结余0.20万元。</w:t>
      </w:r>
    </w:p>
    <w:p>
      <w:pPr>
        <w:spacing w:line="580" w:lineRule="exact"/>
        <w:ind w:firstLine="640"/>
        <w:jc w:val="both"/>
      </w:pPr>
      <w:r>
        <w:rPr>
          <w:rFonts w:ascii="仿宋_GB2312" w:hAnsi="仿宋_GB2312" w:eastAsia="仿宋_GB2312"/>
          <w:b/>
          <w:sz w:val="32"/>
        </w:rPr>
        <w:t>2024年度支出总计476.09万元，</w:t>
      </w:r>
      <w:r>
        <w:rPr>
          <w:rFonts w:ascii="仿宋_GB2312" w:hAnsi="仿宋_GB2312" w:eastAsia="仿宋_GB2312"/>
          <w:b w:val="0"/>
          <w:sz w:val="32"/>
        </w:rPr>
        <w:t>其中：本年支出合计475.89万元，结余分配0.00万元，年末结转和结余0.20万元。</w:t>
      </w:r>
    </w:p>
    <w:p>
      <w:pPr>
        <w:spacing w:line="580" w:lineRule="exact"/>
        <w:ind w:firstLine="640"/>
        <w:jc w:val="both"/>
      </w:pPr>
      <w:r>
        <w:rPr>
          <w:rFonts w:ascii="仿宋_GB2312" w:hAnsi="仿宋_GB2312" w:eastAsia="仿宋_GB2312"/>
          <w:b w:val="0"/>
          <w:sz w:val="32"/>
        </w:rPr>
        <w:t>收入支出总体与上年相比，减少45.28万元，下降8.68%，主要原因是：本年在职人员减少，相关人员经费较上年减少。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本年收入475.89万元，</w:t>
      </w:r>
      <w:r>
        <w:rPr>
          <w:rFonts w:ascii="仿宋_GB2312" w:hAnsi="仿宋_GB2312" w:eastAsia="仿宋_GB2312"/>
          <w:b w:val="0"/>
          <w:sz w:val="32"/>
        </w:rPr>
        <w:t>其中：财政拨款收入475.89万元，占100.00%；上级补助收入0.00万元，占0.00%；事业收入0.00万元，占0.00%；经营收入0.00万元，占0.00%；附属单位上缴收入0.00万元，占0.00%；其他收入0.00万元，占0.00%。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本年支出475.89万元，</w:t>
      </w:r>
      <w:r>
        <w:rPr>
          <w:rFonts w:ascii="仿宋_GB2312" w:hAnsi="仿宋_GB2312" w:eastAsia="仿宋_GB2312"/>
          <w:b w:val="0"/>
          <w:sz w:val="32"/>
        </w:rPr>
        <w:t>其中：基本支出475.89万元，占100.00%；项目支出0.00万元，占0.00%；上缴上级支出0.00万元，占0.00%；经营支出0.00万元，占0.00%；对附属单位补助支出0.00万元，占0.00%。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2024年度财政拨款收入总计475.89万元，</w:t>
      </w:r>
      <w:r>
        <w:rPr>
          <w:rFonts w:ascii="仿宋_GB2312" w:hAnsi="仿宋_GB2312" w:eastAsia="仿宋_GB2312"/>
          <w:b w:val="0"/>
          <w:sz w:val="32"/>
        </w:rPr>
        <w:t>其中：年初财政拨款结转和结余0.00万元，本年财政拨款收入475.89万元。</w:t>
      </w:r>
      <w:r>
        <w:rPr>
          <w:rFonts w:ascii="仿宋_GB2312" w:hAnsi="仿宋_GB2312" w:eastAsia="仿宋_GB2312"/>
          <w:b/>
          <w:sz w:val="32"/>
        </w:rPr>
        <w:t>财政拨款支出总计475.89万元，</w:t>
      </w:r>
      <w:r>
        <w:rPr>
          <w:rFonts w:ascii="仿宋_GB2312" w:hAnsi="仿宋_GB2312" w:eastAsia="仿宋_GB2312"/>
          <w:b w:val="0"/>
          <w:sz w:val="32"/>
        </w:rPr>
        <w:t>其中：年末财政拨款结转和结余0.00万元，本年财政拨款支出475.89万元。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减少45.28万元，下降8.69%，主要原因是：本年在职人员减少，相关人员经费较上年减少。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年初预算数526.50万元，决算数475.89万元，预决算差异率-9.61%，主要原因是：本年在职人员减少，年中调减人员经费，导致预决算存在差异。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2024年度一般公共预算财政拨款支出475.89万元，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减少45.28万元，下降8.69%，主要原因是：本年在职人员减少，相关人员经费较上年减少。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年初预算数526.50万元，决算数475.89万元，预决算差异率-9.61%，主要原因是：本年在职人员减少，年中调减人员经费，导致预决算存在差异。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1.文化旅游体育与传媒支出(类)374.31万元</w:t>
      </w:r>
      <w:r>
        <w:rPr>
          <w:rFonts w:hint="eastAsia" w:ascii="仿宋_GB2312" w:hAnsi="仿宋_GB2312" w:eastAsia="仿宋_GB2312"/>
          <w:b w:val="0"/>
          <w:sz w:val="32"/>
          <w:lang w:eastAsia="zh-CN"/>
        </w:rPr>
        <w:t>，</w:t>
      </w:r>
      <w:r>
        <w:rPr>
          <w:rFonts w:ascii="仿宋_GB2312" w:hAnsi="仿宋_GB2312" w:eastAsia="仿宋_GB2312"/>
          <w:b w:val="0"/>
          <w:sz w:val="32"/>
        </w:rPr>
        <w:t>占78.65%。</w:t>
      </w:r>
    </w:p>
    <w:p>
      <w:pPr>
        <w:spacing w:line="580" w:lineRule="exact"/>
        <w:ind w:firstLine="640"/>
        <w:jc w:val="both"/>
      </w:pPr>
      <w:r>
        <w:rPr>
          <w:rFonts w:ascii="仿宋_GB2312" w:hAnsi="仿宋_GB2312" w:eastAsia="仿宋_GB2312"/>
          <w:b w:val="0"/>
          <w:sz w:val="32"/>
        </w:rPr>
        <w:t>2.社会保障和就业支出(类)51.33万元</w:t>
      </w:r>
      <w:r>
        <w:rPr>
          <w:rFonts w:hint="eastAsia" w:ascii="仿宋_GB2312" w:hAnsi="仿宋_GB2312" w:eastAsia="仿宋_GB2312"/>
          <w:b w:val="0"/>
          <w:sz w:val="32"/>
          <w:lang w:eastAsia="zh-CN"/>
        </w:rPr>
        <w:t>，</w:t>
      </w:r>
      <w:r>
        <w:rPr>
          <w:rFonts w:ascii="仿宋_GB2312" w:hAnsi="仿宋_GB2312" w:eastAsia="仿宋_GB2312"/>
          <w:b w:val="0"/>
          <w:sz w:val="32"/>
        </w:rPr>
        <w:t>占10.79%。</w:t>
      </w:r>
    </w:p>
    <w:p>
      <w:pPr>
        <w:spacing w:line="580" w:lineRule="exact"/>
        <w:ind w:firstLine="640"/>
        <w:jc w:val="both"/>
      </w:pPr>
      <w:r>
        <w:rPr>
          <w:rFonts w:ascii="仿宋_GB2312" w:hAnsi="仿宋_GB2312" w:eastAsia="仿宋_GB2312"/>
          <w:b w:val="0"/>
          <w:sz w:val="32"/>
        </w:rPr>
        <w:t>3.卫生健康支出(类)14.27万元</w:t>
      </w:r>
      <w:r>
        <w:rPr>
          <w:rFonts w:hint="eastAsia" w:ascii="仿宋_GB2312" w:hAnsi="仿宋_GB2312" w:eastAsia="仿宋_GB2312"/>
          <w:b w:val="0"/>
          <w:sz w:val="32"/>
          <w:lang w:eastAsia="zh-CN"/>
        </w:rPr>
        <w:t>，</w:t>
      </w:r>
      <w:r>
        <w:rPr>
          <w:rFonts w:ascii="仿宋_GB2312" w:hAnsi="仿宋_GB2312" w:eastAsia="仿宋_GB2312"/>
          <w:b w:val="0"/>
          <w:sz w:val="32"/>
        </w:rPr>
        <w:t>占3.00%。</w:t>
      </w:r>
    </w:p>
    <w:p>
      <w:pPr>
        <w:spacing w:line="580" w:lineRule="exact"/>
        <w:ind w:firstLine="640"/>
        <w:jc w:val="both"/>
      </w:pPr>
      <w:r>
        <w:rPr>
          <w:rFonts w:ascii="仿宋_GB2312" w:hAnsi="仿宋_GB2312" w:eastAsia="仿宋_GB2312"/>
          <w:b w:val="0"/>
          <w:sz w:val="32"/>
        </w:rPr>
        <w:t>4.住房保障支出(类)35.98万元</w:t>
      </w:r>
      <w:r>
        <w:rPr>
          <w:rFonts w:hint="eastAsia" w:ascii="仿宋_GB2312" w:hAnsi="仿宋_GB2312" w:eastAsia="仿宋_GB2312"/>
          <w:b w:val="0"/>
          <w:sz w:val="32"/>
          <w:lang w:eastAsia="zh-CN"/>
        </w:rPr>
        <w:t>，</w:t>
      </w:r>
      <w:r>
        <w:rPr>
          <w:rFonts w:ascii="仿宋_GB2312" w:hAnsi="仿宋_GB2312" w:eastAsia="仿宋_GB2312"/>
          <w:b w:val="0"/>
          <w:sz w:val="32"/>
        </w:rPr>
        <w:t>占7.56%。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支出决算数为374.31万元，比上年决算减少35.22万元，下降8.60%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支出决算数为6.98万元，比上年决算增加5.64万元，增长420.90%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支出决算数为44.35万元，比上年决算减少3.04万元，下降6.41%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支出决算数为0.00万元，比上年决算减少5.34万元，下降100.00%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pPr>
        <w:spacing w:line="580" w:lineRule="exact"/>
        <w:ind w:firstLine="640"/>
        <w:jc w:val="both"/>
      </w:pPr>
      <w:r>
        <w:rPr>
          <w:rFonts w:ascii="仿宋_GB2312" w:hAnsi="仿宋_GB2312" w:eastAsia="仿宋_GB2312"/>
          <w:b w:val="0"/>
          <w:sz w:val="32"/>
        </w:rPr>
        <w:t>5.社会保障和就业支出(类)抚恤(款)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支出决算数为14.27万元，比上年决算增加0.22万元，增长1.57%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支出决算数为35.98万元，比上年决算减少2.45万元，下降6.38%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2024年度一般公共预算财政拨款基本支出475.89万元，其中：</w:t>
      </w:r>
      <w:r>
        <w:rPr>
          <w:rFonts w:ascii="仿宋_GB2312" w:hAnsi="仿宋_GB2312" w:eastAsia="仿宋_GB2312"/>
          <w:b/>
          <w:sz w:val="32"/>
        </w:rPr>
        <w:t>人员经费472.48万元，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公用经费3.41万元，</w:t>
      </w:r>
      <w:r>
        <w:rPr>
          <w:rFonts w:ascii="仿宋_GB2312" w:hAnsi="仿宋_GB2312" w:eastAsia="仿宋_GB2312"/>
          <w:b w:val="0"/>
          <w:sz w:val="32"/>
        </w:rPr>
        <w:t>包括：电费、邮电费、取暖费、其他商品和服务支出。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2024年度阿图什市上阿图什镇文体广电旅游服务中心（事业单位）公用经费支出3.41万元，比上年增加0.58万元，增长20.49%，主要原因是：本年更新、维护补充办公用品，导致公用经费较上年增加。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2024年度政府采购支出总额1.50万元，其中：政府采购货物支出1.50万元、政府采购工程支出0.00万元、政府采购服务支出0.00万元。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授予中小企业合同金额1.50万元，占政府采购支出总额的100.00%，其中：授予小微企业合同金额1.50万元，占政府采购支出总额的100.00%。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本年无绩效自评项目。发现的问题及原因：本单位本年无绩效自评项目。下一步改进措施：本单位本年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FDBC24-6178-497E-A7F1-0BBB72817C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B7E25090-B4AB-4821-8E4E-C37F35A1ED34}"/>
  </w:font>
  <w:font w:name="仿宋_GB2312">
    <w:panose1 w:val="02010609030101010101"/>
    <w:charset w:val="86"/>
    <w:family w:val="modern"/>
    <w:pitch w:val="default"/>
    <w:sig w:usb0="00000001" w:usb1="080E0000" w:usb2="00000000" w:usb3="00000000" w:csb0="00040000" w:csb1="00000000"/>
    <w:embedRegular r:id="rId3" w:fontKey="{5A217B12-229D-4704-B0DD-E90FAD967E34}"/>
  </w:font>
  <w:font w:name="楷体_GB2312">
    <w:panose1 w:val="02010609030101010101"/>
    <w:charset w:val="86"/>
    <w:family w:val="auto"/>
    <w:pitch w:val="default"/>
    <w:sig w:usb0="00000001" w:usb1="080E0000" w:usb2="00000000" w:usb3="00000000" w:csb0="00040000" w:csb1="00000000"/>
    <w:embedRegular r:id="rId4" w:fontKey="{66D53840-CDF8-4C18-ABCD-9BDD00D704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903DE4"/>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52EC6"/>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E4536D"/>
    <w:rsid w:val="423A32B2"/>
    <w:rsid w:val="423C0CB4"/>
    <w:rsid w:val="427B5743"/>
    <w:rsid w:val="42E64542"/>
    <w:rsid w:val="4425200D"/>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5016</Words>
  <Characters>5629</Characters>
  <Lines>0</Lines>
  <Paragraphs>0</Paragraphs>
  <TotalTime>3</TotalTime>
  <ScaleCrop>false</ScaleCrop>
  <LinksUpToDate>false</LinksUpToDate>
  <CharactersWithSpaces>5639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2025-09-12T12:06:56Z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