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FFDF31B">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阿图什市格达良乡中心幼儿园</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C149E7C">
      <w:r>
        <w:br w:type="page"/>
      </w:r>
    </w:p>
    <w:p w14:paraId="601F1BD3">
      <w:pPr>
        <w:spacing w:line="640" w:lineRule="exact"/>
        <w:jc w:val="center"/>
        <w:outlineLvl w:val="1"/>
      </w:pPr>
      <w:r>
        <w:rPr>
          <w:rFonts w:ascii="黑体" w:hAnsi="黑体" w:eastAsia="黑体"/>
          <w:sz w:val="32"/>
        </w:rPr>
        <w:t>第一部分 单位概况</w:t>
      </w:r>
    </w:p>
    <w:p w14:paraId="148D1534">
      <w:pPr>
        <w:spacing w:line="640" w:lineRule="exact"/>
        <w:ind w:firstLine="640"/>
        <w:jc w:val="both"/>
        <w:outlineLvl w:val="2"/>
      </w:pPr>
      <w:r>
        <w:rPr>
          <w:rFonts w:ascii="黑体" w:hAnsi="黑体" w:eastAsia="黑体"/>
          <w:sz w:val="32"/>
        </w:rPr>
        <w:t>一、主要职能</w:t>
      </w:r>
    </w:p>
    <w:p w14:paraId="10DDDBC3">
      <w:pPr>
        <w:spacing w:line="580" w:lineRule="exact"/>
        <w:ind w:firstLine="640"/>
        <w:jc w:val="both"/>
      </w:pPr>
      <w:r>
        <w:rPr>
          <w:rFonts w:ascii="仿宋_GB2312" w:hAnsi="仿宋_GB2312" w:eastAsia="仿宋_GB2312"/>
          <w:sz w:val="32"/>
        </w:rPr>
        <w:t>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p>
    <w:p w14:paraId="277FD1AD">
      <w:pPr>
        <w:spacing w:line="640" w:lineRule="exact"/>
        <w:ind w:firstLine="640"/>
        <w:jc w:val="both"/>
        <w:outlineLvl w:val="2"/>
      </w:pPr>
      <w:r>
        <w:rPr>
          <w:rFonts w:ascii="黑体" w:hAnsi="黑体" w:eastAsia="黑体"/>
          <w:sz w:val="32"/>
        </w:rPr>
        <w:t>二、机构设置及人员情况</w:t>
      </w:r>
    </w:p>
    <w:p w14:paraId="2A063377">
      <w:pPr>
        <w:spacing w:line="580" w:lineRule="exact"/>
        <w:ind w:firstLine="640"/>
        <w:jc w:val="both"/>
      </w:pPr>
      <w:r>
        <w:rPr>
          <w:rFonts w:ascii="仿宋_GB2312" w:hAnsi="仿宋_GB2312" w:eastAsia="仿宋_GB2312"/>
          <w:sz w:val="32"/>
        </w:rPr>
        <w:t>阿图什市格达良乡中心幼儿园2024年度，实有人数93人，其中：在职人员93人，增加4人；离休人员0人，增加0人；退休人员0人</w:t>
      </w:r>
      <w:r>
        <w:rPr>
          <w:rFonts w:hint="eastAsia" w:ascii="仿宋_GB2312" w:hAnsi="仿宋_GB2312" w:eastAsia="仿宋_GB2312"/>
          <w:sz w:val="32"/>
          <w:lang w:eastAsia="zh-CN"/>
        </w:rPr>
        <w:t>，</w:t>
      </w:r>
      <w:r>
        <w:rPr>
          <w:rFonts w:ascii="仿宋_GB2312" w:hAnsi="仿宋_GB2312" w:eastAsia="仿宋_GB2312"/>
          <w:sz w:val="32"/>
        </w:rPr>
        <w:t>增加0人。</w:t>
      </w:r>
    </w:p>
    <w:p w14:paraId="24C4F54C">
      <w:pPr>
        <w:spacing w:line="580" w:lineRule="exact"/>
        <w:ind w:firstLine="640"/>
        <w:jc w:val="both"/>
      </w:pPr>
      <w:r>
        <w:rPr>
          <w:rFonts w:ascii="仿宋_GB2312" w:hAnsi="仿宋_GB2312" w:eastAsia="仿宋_GB2312"/>
          <w:sz w:val="32"/>
        </w:rPr>
        <w:t>阿图什市格达良乡中心幼儿园无下属预算单位，下设6个科室，分别是：办公室、财务室、教研室、校安办、党建室、德育处。</w:t>
      </w:r>
    </w:p>
    <w:p w14:paraId="51078CE1">
      <w:r>
        <w:br w:type="page"/>
      </w:r>
    </w:p>
    <w:p w14:paraId="72DFDA0F">
      <w:pPr>
        <w:spacing w:line="240" w:lineRule="auto"/>
        <w:jc w:val="center"/>
        <w:outlineLvl w:val="1"/>
      </w:pPr>
      <w:r>
        <w:rPr>
          <w:rFonts w:ascii="黑体" w:hAnsi="黑体" w:eastAsia="黑体"/>
          <w:sz w:val="32"/>
        </w:rPr>
        <w:t>第二部分 部门决算情况说明</w:t>
      </w:r>
    </w:p>
    <w:p w14:paraId="23CF9CDF">
      <w:pPr>
        <w:spacing w:line="640" w:lineRule="exact"/>
        <w:ind w:firstLine="640"/>
        <w:jc w:val="both"/>
        <w:outlineLvl w:val="2"/>
      </w:pPr>
      <w:r>
        <w:rPr>
          <w:rFonts w:ascii="黑体" w:hAnsi="黑体" w:eastAsia="黑体"/>
          <w:sz w:val="32"/>
        </w:rPr>
        <w:t>一、收入支出决算总体情况说明</w:t>
      </w:r>
    </w:p>
    <w:p w14:paraId="50DCFA1A">
      <w:pPr>
        <w:spacing w:line="580" w:lineRule="exact"/>
        <w:ind w:firstLine="640"/>
        <w:jc w:val="both"/>
      </w:pPr>
      <w:r>
        <w:rPr>
          <w:rFonts w:ascii="仿宋_GB2312" w:hAnsi="仿宋_GB2312" w:eastAsia="仿宋_GB2312"/>
          <w:b/>
          <w:sz w:val="32"/>
        </w:rPr>
        <w:t>2024年度收入总计1,528.67万元，</w:t>
      </w:r>
      <w:r>
        <w:rPr>
          <w:rFonts w:ascii="仿宋_GB2312" w:hAnsi="仿宋_GB2312" w:eastAsia="仿宋_GB2312"/>
          <w:b w:val="0"/>
          <w:sz w:val="32"/>
        </w:rPr>
        <w:t>其中：本年收入合计1,528.04万元，使用非财政拨款结余（含专用结余）0.00万元，年初结转和结余0.63万元。</w:t>
      </w:r>
    </w:p>
    <w:p w14:paraId="7DFF4E00">
      <w:pPr>
        <w:spacing w:line="580" w:lineRule="exact"/>
        <w:ind w:firstLine="640"/>
        <w:jc w:val="both"/>
      </w:pPr>
      <w:r>
        <w:rPr>
          <w:rFonts w:ascii="仿宋_GB2312" w:hAnsi="仿宋_GB2312" w:eastAsia="仿宋_GB2312"/>
          <w:b/>
          <w:sz w:val="32"/>
        </w:rPr>
        <w:t>2024年度支出总计1,528.67万元，</w:t>
      </w:r>
      <w:r>
        <w:rPr>
          <w:rFonts w:ascii="仿宋_GB2312" w:hAnsi="仿宋_GB2312" w:eastAsia="仿宋_GB2312"/>
          <w:b w:val="0"/>
          <w:sz w:val="32"/>
        </w:rPr>
        <w:t>其中：本年支出合计1,527.96万元，结余分配0.00万元，年末结转和结余0.71万元。</w:t>
      </w:r>
    </w:p>
    <w:p w14:paraId="217849C9">
      <w:pPr>
        <w:spacing w:line="580" w:lineRule="exact"/>
        <w:ind w:firstLine="640"/>
        <w:jc w:val="both"/>
      </w:pPr>
      <w:r>
        <w:rPr>
          <w:rFonts w:ascii="仿宋_GB2312" w:hAnsi="仿宋_GB2312" w:eastAsia="仿宋_GB2312"/>
          <w:b w:val="0"/>
          <w:sz w:val="32"/>
        </w:rPr>
        <w:t>收入支出总体与上年相比，减少33.24万元，下降2.13%，主要原因是：本年度幼儿人数减少，保教费、伙食费支出减少。</w:t>
      </w:r>
    </w:p>
    <w:p w14:paraId="582AF08B">
      <w:pPr>
        <w:spacing w:line="640" w:lineRule="exact"/>
        <w:ind w:firstLine="640"/>
        <w:jc w:val="both"/>
        <w:outlineLvl w:val="2"/>
      </w:pPr>
      <w:r>
        <w:rPr>
          <w:rFonts w:ascii="黑体" w:hAnsi="黑体" w:eastAsia="黑体"/>
          <w:sz w:val="32"/>
        </w:rPr>
        <w:t>二、收入决算情况说明</w:t>
      </w:r>
    </w:p>
    <w:p w14:paraId="5C88DEC4">
      <w:pPr>
        <w:spacing w:line="580" w:lineRule="exact"/>
        <w:ind w:firstLine="640"/>
        <w:jc w:val="both"/>
      </w:pPr>
      <w:r>
        <w:rPr>
          <w:rFonts w:ascii="仿宋_GB2312" w:hAnsi="仿宋_GB2312" w:eastAsia="仿宋_GB2312"/>
          <w:b/>
          <w:sz w:val="32"/>
        </w:rPr>
        <w:t>本年收入1,528.04万元，</w:t>
      </w:r>
      <w:r>
        <w:rPr>
          <w:rFonts w:ascii="仿宋_GB2312" w:hAnsi="仿宋_GB2312" w:eastAsia="仿宋_GB2312"/>
          <w:b w:val="0"/>
          <w:sz w:val="32"/>
        </w:rPr>
        <w:t>其中：财政拨款收入1,512.95万元，占99.01%；上级补助收入0.00万元，占0.00%；事业收入0.00万元，占0.00%；经营收入0.00万元，占0.00%；附属单位上缴收入0.00万元，占0.00%；其他收入15.09万元，占0.99%。</w:t>
      </w:r>
    </w:p>
    <w:p w14:paraId="1046EE4B">
      <w:pPr>
        <w:spacing w:line="640" w:lineRule="exact"/>
        <w:ind w:firstLine="640"/>
        <w:jc w:val="both"/>
        <w:outlineLvl w:val="2"/>
      </w:pPr>
      <w:r>
        <w:rPr>
          <w:rFonts w:ascii="黑体" w:hAnsi="黑体" w:eastAsia="黑体"/>
          <w:sz w:val="32"/>
        </w:rPr>
        <w:t>三、支出决算情况说明</w:t>
      </w:r>
    </w:p>
    <w:p w14:paraId="7CF4CAB4">
      <w:pPr>
        <w:spacing w:line="580" w:lineRule="exact"/>
        <w:ind w:firstLine="640"/>
        <w:jc w:val="both"/>
      </w:pPr>
      <w:r>
        <w:rPr>
          <w:rFonts w:ascii="仿宋_GB2312" w:hAnsi="仿宋_GB2312" w:eastAsia="仿宋_GB2312"/>
          <w:b/>
          <w:sz w:val="32"/>
        </w:rPr>
        <w:t>本年支出1,527.96万元，</w:t>
      </w:r>
      <w:r>
        <w:rPr>
          <w:rFonts w:ascii="仿宋_GB2312" w:hAnsi="仿宋_GB2312" w:eastAsia="仿宋_GB2312"/>
          <w:b w:val="0"/>
          <w:sz w:val="32"/>
        </w:rPr>
        <w:t>其中：基本支出1,357.50万元，占88.84%；项目支出170.46万元，占11.16%；上缴上级支出0.00万元，占0.00%；经营支出0.00万元，占0.00%；对附属单位补助支出0.00万元，占0.00%。</w:t>
      </w:r>
    </w:p>
    <w:p w14:paraId="1B66ED4B">
      <w:pPr>
        <w:spacing w:line="640" w:lineRule="exact"/>
        <w:ind w:firstLine="640"/>
        <w:jc w:val="both"/>
        <w:outlineLvl w:val="2"/>
      </w:pPr>
      <w:r>
        <w:rPr>
          <w:rFonts w:ascii="黑体" w:hAnsi="黑体" w:eastAsia="黑体"/>
          <w:sz w:val="32"/>
        </w:rPr>
        <w:t>四、财政拨款收入支出决算总体情况说明</w:t>
      </w:r>
    </w:p>
    <w:p w14:paraId="34F7A530">
      <w:pPr>
        <w:spacing w:line="580" w:lineRule="exact"/>
        <w:ind w:firstLine="640"/>
        <w:jc w:val="both"/>
      </w:pPr>
      <w:r>
        <w:rPr>
          <w:rFonts w:ascii="仿宋_GB2312" w:hAnsi="仿宋_GB2312" w:eastAsia="仿宋_GB2312"/>
          <w:b/>
          <w:sz w:val="32"/>
        </w:rPr>
        <w:t>2024年度财政拨款收入总计1,512.95万元，</w:t>
      </w:r>
      <w:r>
        <w:rPr>
          <w:rFonts w:ascii="仿宋_GB2312" w:hAnsi="仿宋_GB2312" w:eastAsia="仿宋_GB2312"/>
          <w:b w:val="0"/>
          <w:sz w:val="32"/>
        </w:rPr>
        <w:t>其中：年初财政拨款结转和结余0.00万元，本年财政拨款收入1,512.95万元。</w:t>
      </w:r>
      <w:r>
        <w:rPr>
          <w:rFonts w:ascii="仿宋_GB2312" w:hAnsi="仿宋_GB2312" w:eastAsia="仿宋_GB2312"/>
          <w:b/>
          <w:sz w:val="32"/>
        </w:rPr>
        <w:t>财政拨款支出总计1,512.95万元，</w:t>
      </w:r>
      <w:r>
        <w:rPr>
          <w:rFonts w:ascii="仿宋_GB2312" w:hAnsi="仿宋_GB2312" w:eastAsia="仿宋_GB2312"/>
          <w:b w:val="0"/>
          <w:sz w:val="32"/>
        </w:rPr>
        <w:t>其中：年末财政拨款结转和结余0.00万元，本年财政拨款支出1,512.95万元。</w:t>
      </w:r>
    </w:p>
    <w:p w14:paraId="379C4D9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减少48.10万元，下降3.08%，主要原因是：本年度幼儿人数减少，保教费、伙食费支出减少。</w:t>
      </w:r>
      <w:r>
        <w:rPr>
          <w:rFonts w:ascii="仿宋_GB2312" w:hAnsi="仿宋_GB2312" w:eastAsia="仿宋_GB2312"/>
          <w:b/>
          <w:sz w:val="32"/>
        </w:rPr>
        <w:t>与年初预算相比，</w:t>
      </w:r>
      <w:r>
        <w:rPr>
          <w:rFonts w:ascii="仿宋_GB2312" w:hAnsi="仿宋_GB2312" w:eastAsia="仿宋_GB2312"/>
          <w:b w:val="0"/>
          <w:sz w:val="32"/>
        </w:rPr>
        <w:t>年初预算数1,483.86万元，决算数1,512.95万元，预决算差异率1.96%，主要原因是：年中追加人员工资、社保、公积金基数调增部分资金，导致预决算存在差异。</w:t>
      </w:r>
    </w:p>
    <w:p w14:paraId="5CD97BAD">
      <w:pPr>
        <w:spacing w:line="640" w:lineRule="exact"/>
        <w:ind w:firstLine="640"/>
        <w:jc w:val="both"/>
        <w:outlineLvl w:val="2"/>
      </w:pPr>
      <w:r>
        <w:rPr>
          <w:rFonts w:ascii="黑体" w:hAnsi="黑体" w:eastAsia="黑体"/>
          <w:sz w:val="32"/>
        </w:rPr>
        <w:t>五、一般公共预算财政拨款支出决算情况说明</w:t>
      </w:r>
    </w:p>
    <w:p w14:paraId="4C70C52E">
      <w:pPr>
        <w:spacing w:line="640" w:lineRule="exact"/>
        <w:ind w:firstLine="640"/>
        <w:jc w:val="both"/>
        <w:outlineLvl w:val="3"/>
      </w:pPr>
      <w:r>
        <w:rPr>
          <w:rFonts w:ascii="楷体_GB2312" w:hAnsi="楷体_GB2312" w:eastAsia="楷体_GB2312"/>
          <w:b/>
          <w:sz w:val="32"/>
        </w:rPr>
        <w:t>（一）一般公共预算财政拨款支出决算总体情况</w:t>
      </w:r>
    </w:p>
    <w:p w14:paraId="2D513DB3">
      <w:pPr>
        <w:spacing w:line="580" w:lineRule="exact"/>
        <w:ind w:firstLine="640"/>
        <w:jc w:val="both"/>
      </w:pPr>
      <w:r>
        <w:rPr>
          <w:rFonts w:ascii="仿宋_GB2312" w:hAnsi="仿宋_GB2312" w:eastAsia="仿宋_GB2312"/>
          <w:b/>
          <w:sz w:val="32"/>
        </w:rPr>
        <w:t>2024年度一般公共预算财政拨款支出1,512.95万元，</w:t>
      </w:r>
      <w:r>
        <w:rPr>
          <w:rFonts w:ascii="仿宋_GB2312" w:hAnsi="仿宋_GB2312" w:eastAsia="仿宋_GB2312"/>
          <w:b w:val="0"/>
          <w:sz w:val="32"/>
        </w:rPr>
        <w:t>占本年支出合计的99.02%。</w:t>
      </w:r>
      <w:r>
        <w:rPr>
          <w:rFonts w:ascii="仿宋_GB2312" w:hAnsi="仿宋_GB2312" w:eastAsia="仿宋_GB2312"/>
          <w:b/>
          <w:sz w:val="32"/>
        </w:rPr>
        <w:t>与上年相比，</w:t>
      </w:r>
      <w:r>
        <w:rPr>
          <w:rFonts w:ascii="仿宋_GB2312" w:hAnsi="仿宋_GB2312" w:eastAsia="仿宋_GB2312"/>
          <w:b w:val="0"/>
          <w:sz w:val="32"/>
        </w:rPr>
        <w:t>减少48.10万元，下降3.08%，主要原因是：本年度幼儿人数减少，保教费、伙食费支出减少。</w:t>
      </w:r>
      <w:r>
        <w:rPr>
          <w:rFonts w:ascii="仿宋_GB2312" w:hAnsi="仿宋_GB2312" w:eastAsia="仿宋_GB2312"/>
          <w:b/>
          <w:sz w:val="32"/>
        </w:rPr>
        <w:t>与年初预算相比</w:t>
      </w:r>
      <w:r>
        <w:rPr>
          <w:rFonts w:hint="eastAsia" w:ascii="仿宋_GB2312" w:hAnsi="仿宋_GB2312" w:eastAsia="仿宋_GB2312"/>
          <w:b/>
          <w:sz w:val="32"/>
          <w:lang w:eastAsia="zh-CN"/>
        </w:rPr>
        <w:t>，</w:t>
      </w:r>
      <w:r>
        <w:rPr>
          <w:rFonts w:ascii="仿宋_GB2312" w:hAnsi="仿宋_GB2312" w:eastAsia="仿宋_GB2312"/>
          <w:b w:val="0"/>
          <w:sz w:val="32"/>
        </w:rPr>
        <w:t>年初预算数1,483.86万元，决算数1,512.95万元，预决算差异率1.96%，主要原因是：年中追加人员工资、社保、公积金基数调增部分资金，导致预决算存在差异。</w:t>
      </w:r>
    </w:p>
    <w:p w14:paraId="0A9C6498">
      <w:pPr>
        <w:spacing w:line="640" w:lineRule="exact"/>
        <w:ind w:firstLine="640"/>
        <w:jc w:val="both"/>
        <w:outlineLvl w:val="3"/>
      </w:pPr>
      <w:r>
        <w:rPr>
          <w:rFonts w:ascii="楷体_GB2312" w:hAnsi="楷体_GB2312" w:eastAsia="楷体_GB2312"/>
          <w:b/>
          <w:sz w:val="32"/>
        </w:rPr>
        <w:t>（二）一般公共预算财政拨款支出决算结构情况</w:t>
      </w:r>
    </w:p>
    <w:p w14:paraId="51055340">
      <w:pPr>
        <w:spacing w:line="580" w:lineRule="exact"/>
        <w:ind w:firstLine="640"/>
        <w:jc w:val="both"/>
      </w:pPr>
      <w:r>
        <w:rPr>
          <w:rFonts w:ascii="仿宋_GB2312" w:hAnsi="仿宋_GB2312" w:eastAsia="仿宋_GB2312"/>
          <w:b w:val="0"/>
          <w:sz w:val="32"/>
        </w:rPr>
        <w:t>1.教育支出</w:t>
      </w:r>
      <w:bookmarkStart w:id="0" w:name="_GoBack"/>
      <w:r>
        <w:rPr>
          <w:rFonts w:ascii="仿宋_GB2312" w:hAnsi="仿宋_GB2312" w:eastAsia="仿宋_GB2312"/>
          <w:b w:val="0"/>
          <w:sz w:val="32"/>
        </w:rPr>
        <w:t>(</w:t>
      </w:r>
      <w:bookmarkEnd w:id="0"/>
      <w:r>
        <w:rPr>
          <w:rFonts w:ascii="仿宋_GB2312" w:hAnsi="仿宋_GB2312" w:eastAsia="仿宋_GB2312"/>
          <w:b w:val="0"/>
          <w:sz w:val="32"/>
        </w:rPr>
        <w:t>类)1,511.13万元</w:t>
      </w:r>
      <w:r>
        <w:rPr>
          <w:rFonts w:hint="eastAsia" w:ascii="仿宋_GB2312" w:hAnsi="仿宋_GB2312" w:eastAsia="仿宋_GB2312"/>
          <w:b w:val="0"/>
          <w:sz w:val="32"/>
          <w:lang w:eastAsia="zh-CN"/>
        </w:rPr>
        <w:t>，</w:t>
      </w:r>
      <w:r>
        <w:rPr>
          <w:rFonts w:ascii="仿宋_GB2312" w:hAnsi="仿宋_GB2312" w:eastAsia="仿宋_GB2312"/>
          <w:b w:val="0"/>
          <w:sz w:val="32"/>
        </w:rPr>
        <w:t>占99.88%。</w:t>
      </w:r>
    </w:p>
    <w:p w14:paraId="4F591BFE">
      <w:pPr>
        <w:spacing w:line="580" w:lineRule="exact"/>
        <w:ind w:firstLine="640"/>
        <w:jc w:val="both"/>
      </w:pPr>
      <w:r>
        <w:rPr>
          <w:rFonts w:ascii="仿宋_GB2312" w:hAnsi="仿宋_GB2312" w:eastAsia="仿宋_GB2312"/>
          <w:b w:val="0"/>
          <w:sz w:val="32"/>
        </w:rPr>
        <w:t>2.社会保障和就业支出(类)1.73万元</w:t>
      </w:r>
      <w:r>
        <w:rPr>
          <w:rFonts w:hint="eastAsia" w:ascii="仿宋_GB2312" w:hAnsi="仿宋_GB2312" w:eastAsia="仿宋_GB2312"/>
          <w:b w:val="0"/>
          <w:sz w:val="32"/>
          <w:lang w:eastAsia="zh-CN"/>
        </w:rPr>
        <w:t>，</w:t>
      </w:r>
      <w:r>
        <w:rPr>
          <w:rFonts w:ascii="仿宋_GB2312" w:hAnsi="仿宋_GB2312" w:eastAsia="仿宋_GB2312"/>
          <w:b w:val="0"/>
          <w:sz w:val="32"/>
        </w:rPr>
        <w:t>占0.11%。</w:t>
      </w:r>
    </w:p>
    <w:p w14:paraId="24B3FBFE">
      <w:pPr>
        <w:spacing w:line="580" w:lineRule="exact"/>
        <w:ind w:firstLine="640"/>
        <w:jc w:val="both"/>
      </w:pPr>
      <w:r>
        <w:rPr>
          <w:rFonts w:ascii="仿宋_GB2312" w:hAnsi="仿宋_GB2312" w:eastAsia="仿宋_GB2312"/>
          <w:b w:val="0"/>
          <w:sz w:val="32"/>
        </w:rPr>
        <w:t>3.住房保障支出(类)0.09万元</w:t>
      </w:r>
      <w:r>
        <w:rPr>
          <w:rFonts w:hint="eastAsia" w:ascii="仿宋_GB2312" w:hAnsi="仿宋_GB2312" w:eastAsia="仿宋_GB2312"/>
          <w:b w:val="0"/>
          <w:sz w:val="32"/>
          <w:lang w:eastAsia="zh-CN"/>
        </w:rPr>
        <w:t>，</w:t>
      </w:r>
      <w:r>
        <w:rPr>
          <w:rFonts w:ascii="仿宋_GB2312" w:hAnsi="仿宋_GB2312" w:eastAsia="仿宋_GB2312"/>
          <w:b w:val="0"/>
          <w:sz w:val="32"/>
        </w:rPr>
        <w:t>占0.006%。</w:t>
      </w:r>
    </w:p>
    <w:p w14:paraId="056536B6">
      <w:pPr>
        <w:spacing w:line="640" w:lineRule="exact"/>
        <w:ind w:firstLine="640"/>
        <w:jc w:val="both"/>
        <w:outlineLvl w:val="3"/>
      </w:pPr>
      <w:r>
        <w:rPr>
          <w:rFonts w:ascii="楷体_GB2312" w:hAnsi="楷体_GB2312" w:eastAsia="楷体_GB2312"/>
          <w:b/>
          <w:sz w:val="32"/>
        </w:rPr>
        <w:t>（三）一般公共预算财政拨款支出决算具体情况</w:t>
      </w:r>
    </w:p>
    <w:p w14:paraId="41687644">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1.教育支出(类)普通教育(款)学前教育(项)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支出决算数为1,460.02万元，比上年决算增加104.79万元，增长7.73%</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科目调整，部分住房公积金、部分</w:t>
      </w:r>
      <w:r>
        <w:rPr>
          <w:rFonts w:ascii="仿宋_GB2312" w:hAnsi="仿宋_GB2312" w:eastAsia="仿宋_GB2312"/>
          <w:b w:val="0"/>
          <w:sz w:val="32"/>
        </w:rPr>
        <w:t>养老保险缴费</w:t>
      </w:r>
      <w:r>
        <w:rPr>
          <w:rFonts w:hint="eastAsia" w:ascii="仿宋_GB2312" w:hAnsi="仿宋_GB2312" w:eastAsia="仿宋_GB2312"/>
          <w:b w:val="0"/>
          <w:sz w:val="32"/>
          <w:lang w:val="en-US" w:eastAsia="zh-CN"/>
        </w:rPr>
        <w:t>上年单独列支，本年调整至主科目列支，导致相关经费增加。</w:t>
      </w:r>
    </w:p>
    <w:p w14:paraId="6575D50C">
      <w:pPr>
        <w:spacing w:line="580" w:lineRule="exact"/>
        <w:ind w:firstLine="640"/>
        <w:jc w:val="both"/>
      </w:pPr>
      <w:r>
        <w:rPr>
          <w:rFonts w:ascii="仿宋_GB2312" w:hAnsi="仿宋_GB2312" w:eastAsia="仿宋_GB2312"/>
          <w:b w:val="0"/>
          <w:sz w:val="32"/>
        </w:rPr>
        <w:t>2.教育支出(类)普通教育(款)小学教育(项)</w:t>
      </w:r>
      <w:r>
        <w:rPr>
          <w:rFonts w:hint="eastAsia" w:ascii="仿宋_GB2312" w:hAnsi="仿宋_GB2312" w:eastAsia="仿宋_GB2312"/>
          <w:b w:val="0"/>
          <w:sz w:val="32"/>
          <w:lang w:eastAsia="zh-CN"/>
        </w:rPr>
        <w:t>：</w:t>
      </w:r>
      <w:r>
        <w:rPr>
          <w:rFonts w:ascii="仿宋_GB2312" w:hAnsi="仿宋_GB2312" w:eastAsia="仿宋_GB2312"/>
          <w:b w:val="0"/>
          <w:sz w:val="32"/>
        </w:rPr>
        <w:t>支出决算数为43.71万元，比上年决算增加43.71万元，增长100.00%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主要原因是：功能科目调整，特岗人员及公用经费上年度在主科目列支，本年调整至此科目列支，支出增加。</w:t>
      </w:r>
    </w:p>
    <w:p w14:paraId="4D756201">
      <w:pPr>
        <w:spacing w:line="580" w:lineRule="exact"/>
        <w:ind w:firstLine="640"/>
        <w:jc w:val="both"/>
      </w:pPr>
      <w:r>
        <w:rPr>
          <w:rFonts w:ascii="仿宋_GB2312" w:hAnsi="仿宋_GB2312" w:eastAsia="仿宋_GB2312"/>
          <w:b w:val="0"/>
          <w:sz w:val="32"/>
        </w:rPr>
        <w:t>3.教育支出(类)教育费附加安排的支出(款)其他教育费附加安排的支出(项)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支出决算数为7.39万元，比上年决算增加7.39万元，增长100.00%</w:t>
      </w:r>
      <w:r>
        <w:rPr>
          <w:rFonts w:hint="eastAsia" w:ascii="仿宋_GB2312" w:hAnsi="仿宋_GB2312" w:eastAsia="仿宋_GB2312"/>
          <w:b w:val="0"/>
          <w:sz w:val="32"/>
          <w:lang w:eastAsia="zh-CN"/>
        </w:rPr>
        <w:t>，</w:t>
      </w:r>
      <w:r>
        <w:rPr>
          <w:rFonts w:ascii="仿宋_GB2312" w:hAnsi="仿宋_GB2312" w:eastAsia="仿宋_GB2312"/>
          <w:b w:val="0"/>
          <w:sz w:val="32"/>
        </w:rPr>
        <w:t>主要原因是：功能科目调整，取暖费上年度在主科目列支，本年调整至此科目列支，导致经费较上年增加。</w:t>
      </w:r>
    </w:p>
    <w:p w14:paraId="3B5993ED">
      <w:pPr>
        <w:spacing w:line="580" w:lineRule="exact"/>
        <w:ind w:firstLine="640"/>
        <w:jc w:val="both"/>
        <w:rPr>
          <w:rFonts w:hint="eastAsia" w:ascii="仿宋_GB2312" w:hAnsi="仿宋_GB2312" w:eastAsia="仿宋_GB2312"/>
          <w:b w:val="0"/>
          <w:sz w:val="32"/>
          <w:lang w:val="en-US" w:eastAsia="zh-CN"/>
        </w:rPr>
      </w:pPr>
      <w:r>
        <w:rPr>
          <w:rFonts w:ascii="仿宋_GB2312" w:hAnsi="仿宋_GB2312" w:eastAsia="仿宋_GB2312"/>
          <w:b w:val="0"/>
          <w:sz w:val="32"/>
        </w:rPr>
        <w:t>4.社会保障和就业支出(类)行政事业单位养老支出(款)机关事业单位基本养老保险缴费支出(项)</w:t>
      </w:r>
      <w:r>
        <w:rPr>
          <w:rFonts w:hint="eastAsia" w:ascii="仿宋_GB2312" w:hAnsi="仿宋_GB2312" w:eastAsia="仿宋_GB2312"/>
          <w:b w:val="0"/>
          <w:sz w:val="32"/>
          <w:lang w:eastAsia="zh-CN"/>
        </w:rPr>
        <w:t>：</w:t>
      </w:r>
      <w:r>
        <w:rPr>
          <w:rFonts w:ascii="仿宋_GB2312" w:hAnsi="仿宋_GB2312" w:eastAsia="仿宋_GB2312"/>
          <w:b w:val="0"/>
          <w:sz w:val="32"/>
        </w:rPr>
        <w:t>支出决算数为1.73万元，比上年决算减少108.95万元，下降98.44%</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科目调整，部分</w:t>
      </w:r>
      <w:r>
        <w:rPr>
          <w:rFonts w:ascii="仿宋_GB2312" w:hAnsi="仿宋_GB2312" w:eastAsia="仿宋_GB2312"/>
          <w:b w:val="0"/>
          <w:sz w:val="32"/>
        </w:rPr>
        <w:t>养老保险缴费</w:t>
      </w:r>
      <w:r>
        <w:rPr>
          <w:rFonts w:hint="eastAsia" w:ascii="仿宋_GB2312" w:hAnsi="仿宋_GB2312" w:eastAsia="仿宋_GB2312"/>
          <w:b w:val="0"/>
          <w:sz w:val="32"/>
          <w:lang w:val="en-US" w:eastAsia="zh-CN"/>
        </w:rPr>
        <w:t>上年单独列支，本年调整至主科目列支，导致相关经费减少。</w:t>
      </w:r>
    </w:p>
    <w:p w14:paraId="0F15FBA6">
      <w:pPr>
        <w:spacing w:line="580" w:lineRule="exact"/>
        <w:ind w:firstLine="640"/>
        <w:jc w:val="both"/>
      </w:pPr>
      <w:r>
        <w:rPr>
          <w:rFonts w:ascii="仿宋_GB2312" w:hAnsi="仿宋_GB2312" w:eastAsia="仿宋_GB2312"/>
          <w:b w:val="0"/>
          <w:sz w:val="32"/>
        </w:rPr>
        <w:t>5.住房保障支出(类)住房改革支出(款)住房公积金(项)</w:t>
      </w:r>
      <w:r>
        <w:rPr>
          <w:rFonts w:hint="eastAsia" w:ascii="仿宋_GB2312" w:hAnsi="仿宋_GB2312" w:eastAsia="仿宋_GB2312"/>
          <w:b w:val="0"/>
          <w:sz w:val="32"/>
          <w:lang w:eastAsia="zh-CN"/>
        </w:rPr>
        <w:t>：</w:t>
      </w:r>
      <w:r>
        <w:rPr>
          <w:rFonts w:ascii="仿宋_GB2312" w:hAnsi="仿宋_GB2312" w:eastAsia="仿宋_GB2312"/>
          <w:b w:val="0"/>
          <w:sz w:val="32"/>
        </w:rPr>
        <w:t>支出决算数为0.09万元，比上年决算减少95.06万元，下降99.91%</w:t>
      </w:r>
      <w:r>
        <w:rPr>
          <w:rFonts w:hint="eastAsia" w:ascii="仿宋_GB2312" w:hAnsi="仿宋_GB2312" w:eastAsia="仿宋_GB2312"/>
          <w:b w:val="0"/>
          <w:sz w:val="32"/>
          <w:lang w:eastAsia="zh-CN"/>
        </w:rPr>
        <w:t>，</w:t>
      </w:r>
      <w:r>
        <w:rPr>
          <w:rFonts w:ascii="仿宋_GB2312" w:hAnsi="仿宋_GB2312" w:eastAsia="仿宋_GB2312"/>
          <w:b w:val="0"/>
          <w:sz w:val="32"/>
        </w:rPr>
        <w:t>主要原因是：本年</w:t>
      </w:r>
      <w:r>
        <w:rPr>
          <w:rFonts w:hint="eastAsia" w:ascii="仿宋_GB2312" w:hAnsi="仿宋_GB2312" w:eastAsia="仿宋_GB2312"/>
          <w:b w:val="0"/>
          <w:sz w:val="32"/>
          <w:lang w:val="en-US" w:eastAsia="zh-CN"/>
        </w:rPr>
        <w:t>科目调整，部分住房公积金上年单独列支，本年调整至主科目列支，导致相关经费减少。</w:t>
      </w:r>
    </w:p>
    <w:p w14:paraId="5CB9D1D2">
      <w:pPr>
        <w:spacing w:line="640" w:lineRule="exact"/>
        <w:ind w:firstLine="640"/>
        <w:jc w:val="both"/>
        <w:outlineLvl w:val="2"/>
      </w:pPr>
      <w:r>
        <w:rPr>
          <w:rFonts w:ascii="黑体" w:hAnsi="黑体" w:eastAsia="黑体"/>
          <w:sz w:val="32"/>
        </w:rPr>
        <w:t>六、一般公共预算财政拨款基本支出决算情况说明</w:t>
      </w:r>
    </w:p>
    <w:p w14:paraId="2BBDA1B5">
      <w:pPr>
        <w:spacing w:line="580" w:lineRule="exact"/>
        <w:ind w:firstLine="640"/>
        <w:jc w:val="both"/>
      </w:pPr>
      <w:r>
        <w:rPr>
          <w:rFonts w:ascii="仿宋_GB2312" w:hAnsi="仿宋_GB2312" w:eastAsia="仿宋_GB2312"/>
          <w:b w:val="0"/>
          <w:sz w:val="32"/>
        </w:rPr>
        <w:t>2024年度一般公共预算财政拨款基本支出1,357.50万元，其中：</w:t>
      </w:r>
      <w:r>
        <w:rPr>
          <w:rFonts w:ascii="仿宋_GB2312" w:hAnsi="仿宋_GB2312" w:eastAsia="仿宋_GB2312"/>
          <w:b/>
          <w:sz w:val="32"/>
        </w:rPr>
        <w:t>人员经费1,357.50万元，</w:t>
      </w:r>
      <w:r>
        <w:rPr>
          <w:rFonts w:ascii="仿宋_GB2312" w:hAnsi="仿宋_GB2312" w:eastAsia="仿宋_GB2312"/>
          <w:b w:val="0"/>
          <w:sz w:val="32"/>
        </w:rPr>
        <w:t>包括：基本工资、津贴补贴、奖金、绩效工资、机关事业单位基本养老保险缴费、职工基本医疗保险缴费、其他社会保障缴费、住房公积金。</w:t>
      </w:r>
    </w:p>
    <w:p w14:paraId="730DE31E">
      <w:pPr>
        <w:spacing w:line="580" w:lineRule="exact"/>
        <w:ind w:firstLine="640"/>
        <w:jc w:val="both"/>
      </w:pPr>
      <w:r>
        <w:rPr>
          <w:rFonts w:ascii="仿宋_GB2312" w:hAnsi="仿宋_GB2312" w:eastAsia="仿宋_GB2312"/>
          <w:b/>
          <w:sz w:val="32"/>
        </w:rPr>
        <w:t>公用经费0.00万元，</w:t>
      </w:r>
      <w:r>
        <w:rPr>
          <w:rFonts w:ascii="仿宋_GB2312" w:hAnsi="仿宋_GB2312" w:eastAsia="仿宋_GB2312"/>
          <w:b w:val="0"/>
          <w:sz w:val="32"/>
        </w:rPr>
        <w:t>包括：无公用经费。</w:t>
      </w:r>
    </w:p>
    <w:p w14:paraId="62C24D17">
      <w:pPr>
        <w:spacing w:line="640" w:lineRule="exact"/>
        <w:ind w:firstLine="640"/>
        <w:jc w:val="both"/>
        <w:outlineLvl w:val="2"/>
      </w:pPr>
      <w:r>
        <w:rPr>
          <w:rFonts w:ascii="黑体" w:hAnsi="黑体" w:eastAsia="黑体"/>
          <w:sz w:val="32"/>
        </w:rPr>
        <w:t>七、政府性基金预算财政拨款收入支出决算情况说明</w:t>
      </w:r>
    </w:p>
    <w:p w14:paraId="0B69833B">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B559B33">
      <w:pPr>
        <w:spacing w:line="640" w:lineRule="exact"/>
        <w:ind w:firstLine="640"/>
        <w:jc w:val="both"/>
        <w:outlineLvl w:val="2"/>
      </w:pPr>
      <w:r>
        <w:rPr>
          <w:rFonts w:ascii="黑体" w:hAnsi="黑体" w:eastAsia="黑体"/>
          <w:sz w:val="32"/>
        </w:rPr>
        <w:t>八、国有资本经营预算财政拨款收入支出决算情况说明</w:t>
      </w:r>
    </w:p>
    <w:p w14:paraId="798E132E">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1A8747C">
      <w:pPr>
        <w:spacing w:line="640" w:lineRule="exact"/>
        <w:ind w:firstLine="640"/>
        <w:jc w:val="both"/>
        <w:outlineLvl w:val="2"/>
      </w:pPr>
      <w:r>
        <w:rPr>
          <w:rFonts w:ascii="黑体" w:hAnsi="黑体" w:eastAsia="黑体"/>
          <w:sz w:val="32"/>
        </w:rPr>
        <w:t>九、财政拨款“三公”经费支出决算情况说明</w:t>
      </w:r>
    </w:p>
    <w:p w14:paraId="68DCB7F1">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7D5A4CB9">
      <w:pPr>
        <w:spacing w:line="580" w:lineRule="exact"/>
        <w:ind w:firstLine="640"/>
        <w:jc w:val="both"/>
      </w:pPr>
      <w:r>
        <w:rPr>
          <w:rFonts w:ascii="仿宋_GB2312" w:hAnsi="仿宋_GB2312" w:eastAsia="仿宋_GB2312"/>
          <w:b/>
          <w:sz w:val="32"/>
        </w:rPr>
        <w:t>具体情况如下：</w:t>
      </w:r>
    </w:p>
    <w:p w14:paraId="3F030DE2">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929F88C">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14:paraId="5070BFDC">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0289FC4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0.00万元，决算数0.00万元，预决算差异率0.00%，主要原因是：本单位无公务用车运行维护费。公务接待费全年预算数0.00万元，决算数0.00万元，预决算差异率0.00%，主要原因是：本单位无公务接待费。</w:t>
      </w:r>
    </w:p>
    <w:p w14:paraId="30292286">
      <w:pPr>
        <w:spacing w:line="640" w:lineRule="exact"/>
        <w:ind w:firstLine="640"/>
        <w:jc w:val="both"/>
        <w:outlineLvl w:val="2"/>
      </w:pPr>
      <w:r>
        <w:rPr>
          <w:rFonts w:ascii="黑体" w:hAnsi="黑体" w:eastAsia="黑体"/>
          <w:sz w:val="32"/>
        </w:rPr>
        <w:t>十、其他重要事项的情况说明</w:t>
      </w:r>
    </w:p>
    <w:p w14:paraId="2FB30D1F">
      <w:pPr>
        <w:spacing w:line="640" w:lineRule="exact"/>
        <w:ind w:firstLine="640"/>
        <w:jc w:val="both"/>
        <w:outlineLvl w:val="3"/>
      </w:pPr>
      <w:r>
        <w:rPr>
          <w:rFonts w:ascii="楷体_GB2312" w:hAnsi="楷体_GB2312" w:eastAsia="楷体_GB2312"/>
          <w:b/>
          <w:sz w:val="32"/>
        </w:rPr>
        <w:t>（一）机关运行经费及公用经费支出情况</w:t>
      </w:r>
    </w:p>
    <w:p w14:paraId="170479FD">
      <w:pPr>
        <w:spacing w:line="580" w:lineRule="exact"/>
        <w:ind w:firstLine="640"/>
        <w:jc w:val="both"/>
      </w:pPr>
      <w:r>
        <w:rPr>
          <w:rFonts w:ascii="仿宋_GB2312" w:hAnsi="仿宋_GB2312" w:eastAsia="仿宋_GB2312"/>
          <w:b w:val="0"/>
          <w:sz w:val="32"/>
        </w:rPr>
        <w:t>2024年度阿图什市格达良乡中心幼儿园（事业单位）公用经费支出0.00万元，比上年减少8.32万元，下降100.00%，主要原因是：本年度减少取暖费支出。</w:t>
      </w:r>
    </w:p>
    <w:p w14:paraId="571D28AE">
      <w:pPr>
        <w:spacing w:line="640" w:lineRule="exact"/>
        <w:ind w:firstLine="640"/>
        <w:jc w:val="both"/>
        <w:outlineLvl w:val="3"/>
      </w:pPr>
      <w:r>
        <w:rPr>
          <w:rFonts w:ascii="楷体_GB2312" w:hAnsi="楷体_GB2312" w:eastAsia="楷体_GB2312"/>
          <w:b/>
          <w:sz w:val="32"/>
        </w:rPr>
        <w:t>（二）政府采购情况</w:t>
      </w:r>
    </w:p>
    <w:p w14:paraId="66D0C259">
      <w:pPr>
        <w:spacing w:line="580" w:lineRule="exact"/>
        <w:ind w:firstLine="640"/>
        <w:jc w:val="both"/>
      </w:pPr>
      <w:r>
        <w:rPr>
          <w:rFonts w:ascii="仿宋_GB2312" w:hAnsi="仿宋_GB2312" w:eastAsia="仿宋_GB2312"/>
          <w:b w:val="0"/>
          <w:sz w:val="32"/>
        </w:rPr>
        <w:t>2024年度政府采购支出总额51.80万元，其中：政府采购货物支出42.53万元、政府采购工程支出0.38万元、政府采购服务支出8.88万元。</w:t>
      </w:r>
    </w:p>
    <w:p w14:paraId="0D168C92">
      <w:pPr>
        <w:spacing w:line="580" w:lineRule="exact"/>
        <w:ind w:firstLine="640"/>
        <w:jc w:val="both"/>
      </w:pPr>
      <w:r>
        <w:rPr>
          <w:rFonts w:ascii="仿宋_GB2312" w:hAnsi="仿宋_GB2312" w:eastAsia="仿宋_GB2312"/>
          <w:b w:val="0"/>
          <w:sz w:val="32"/>
        </w:rPr>
        <w:t>授予中小企业合同金额49.88万元，占政府采购支出总额的96.29%，其中：授予小微企业合同金额49.60万元，占政府采购支出总额的95.75%。</w:t>
      </w:r>
    </w:p>
    <w:p w14:paraId="5C7601DA">
      <w:pPr>
        <w:spacing w:line="640" w:lineRule="exact"/>
        <w:ind w:firstLine="640"/>
        <w:jc w:val="both"/>
        <w:outlineLvl w:val="3"/>
      </w:pPr>
      <w:r>
        <w:rPr>
          <w:rFonts w:ascii="楷体_GB2312" w:hAnsi="楷体_GB2312" w:eastAsia="楷体_GB2312"/>
          <w:b/>
          <w:sz w:val="32"/>
        </w:rPr>
        <w:t>（三）国有资产占用情况说明</w:t>
      </w:r>
    </w:p>
    <w:p w14:paraId="1E71767C">
      <w:pPr>
        <w:spacing w:line="580" w:lineRule="exact"/>
        <w:ind w:firstLine="640"/>
        <w:jc w:val="both"/>
      </w:pPr>
      <w:r>
        <w:rPr>
          <w:rFonts w:ascii="仿宋_GB2312" w:hAnsi="仿宋_GB2312" w:eastAsia="仿宋_GB2312"/>
          <w:b w:val="0"/>
          <w:sz w:val="32"/>
        </w:rPr>
        <w:t>截至2024年12月31日，房屋4,079.98平方米，价值675.69万元。车辆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7A8FAABE">
      <w:pPr>
        <w:spacing w:line="640" w:lineRule="exact"/>
        <w:ind w:firstLine="640"/>
        <w:jc w:val="both"/>
        <w:outlineLvl w:val="2"/>
      </w:pPr>
      <w:r>
        <w:rPr>
          <w:rFonts w:ascii="黑体" w:hAnsi="黑体" w:eastAsia="黑体"/>
          <w:sz w:val="32"/>
        </w:rPr>
        <w:t>十一、预算绩效的情况说明</w:t>
      </w:r>
    </w:p>
    <w:p w14:paraId="75233A0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1,528.67万元，实际执行总额1,527.96万元；预算绩效评价项目0个，全年预算数0.00万元，全年执行数0.00万元。预算绩效管理取得的成效：</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无绩效自评项目。发现的问题及原因：</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无绩效自评项目。下一步改进措施：</w:t>
      </w:r>
      <w:r>
        <w:rPr>
          <w:rFonts w:hint="eastAsia" w:ascii="仿宋_GB2312" w:hAnsi="仿宋_GB2312" w:eastAsia="仿宋_GB2312"/>
          <w:b w:val="0"/>
          <w:sz w:val="32"/>
          <w:lang w:eastAsia="zh-CN"/>
        </w:rPr>
        <w:t>本单位</w:t>
      </w:r>
      <w:r>
        <w:rPr>
          <w:rFonts w:ascii="仿宋_GB2312" w:hAnsi="仿宋_GB2312" w:eastAsia="仿宋_GB2312"/>
          <w:b w:val="0"/>
          <w:sz w:val="32"/>
        </w:rPr>
        <w:t>无绩效自评项目。具体附整体支出绩效自评表。</w:t>
      </w:r>
    </w:p>
    <w:p w14:paraId="5AD1F66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5B62FE4C">
        <w:tblPrEx>
          <w:tblCellMar>
            <w:top w:w="0" w:type="dxa"/>
            <w:left w:w="108" w:type="dxa"/>
            <w:bottom w:w="0" w:type="dxa"/>
            <w:right w:w="108" w:type="dxa"/>
          </w:tblCellMar>
        </w:tblPrEx>
        <w:tc>
          <w:tcPr>
            <w:tcW w:w="8840" w:type="dxa"/>
            <w:gridSpan w:val="8"/>
            <w:vAlign w:val="center"/>
          </w:tcPr>
          <w:p w14:paraId="7BF7D4D0">
            <w:pPr>
              <w:jc w:val="center"/>
            </w:pPr>
            <w:r>
              <w:rPr>
                <w:rFonts w:ascii="宋体" w:hAnsi="宋体" w:eastAsia="宋体"/>
                <w:sz w:val="24"/>
              </w:rPr>
              <w:t>单位整体支出绩效自评表</w:t>
            </w:r>
          </w:p>
        </w:tc>
      </w:tr>
      <w:tr w14:paraId="1189EC9F">
        <w:tblPrEx>
          <w:tblCellMar>
            <w:top w:w="0" w:type="dxa"/>
            <w:left w:w="108" w:type="dxa"/>
            <w:bottom w:w="0" w:type="dxa"/>
            <w:right w:w="108" w:type="dxa"/>
          </w:tblCellMar>
        </w:tblPrEx>
        <w:tc>
          <w:tcPr>
            <w:tcW w:w="8840" w:type="dxa"/>
            <w:gridSpan w:val="8"/>
            <w:vAlign w:val="center"/>
          </w:tcPr>
          <w:p w14:paraId="335CF7FC">
            <w:pPr>
              <w:jc w:val="center"/>
            </w:pPr>
            <w:r>
              <w:rPr>
                <w:rFonts w:ascii="宋体" w:hAnsi="宋体" w:eastAsia="宋体"/>
                <w:sz w:val="24"/>
              </w:rPr>
              <w:t>（2024年度）</w:t>
            </w:r>
          </w:p>
        </w:tc>
      </w:tr>
      <w:tr w14:paraId="279B6D00">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02DDD3">
            <w:pPr>
              <w:jc w:val="center"/>
            </w:pPr>
            <w:r>
              <w:rPr>
                <w:rFonts w:ascii="宋体" w:hAnsi="宋体" w:eastAsia="宋体"/>
                <w:sz w:val="16"/>
              </w:rPr>
              <w:t>单位名称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6CEFA8">
            <w:pPr>
              <w:jc w:val="center"/>
            </w:pPr>
            <w:r>
              <w:rPr>
                <w:rFonts w:ascii="宋体" w:hAnsi="宋体" w:eastAsia="宋体"/>
                <w:sz w:val="16"/>
              </w:rPr>
              <w:t>阿图什市格达良乡中心幼儿园</w:t>
            </w:r>
          </w:p>
        </w:tc>
      </w:tr>
      <w:tr w14:paraId="55CB8F0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A6FC7">
            <w:pPr>
              <w:jc w:val="center"/>
            </w:pPr>
            <w:r>
              <w:rPr>
                <w:rFonts w:ascii="宋体" w:hAnsi="宋体" w:eastAsia="宋体"/>
                <w:sz w:val="16"/>
              </w:rPr>
              <w:t>年度预算（万元）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8DC027">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5FD83">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B19B2B">
            <w:pPr>
              <w:jc w:val="center"/>
            </w:pPr>
            <w:r>
              <w:rPr>
                <w:rFonts w:ascii="宋体" w:hAnsi="宋体" w:eastAsia="宋体"/>
                <w:sz w:val="16"/>
              </w:rPr>
              <w:t>预算数（调整后）</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35A8C4">
            <w:pPr>
              <w:jc w:val="center"/>
            </w:pPr>
            <w:r>
              <w:rPr>
                <w:rFonts w:ascii="宋体" w:hAnsi="宋体" w:eastAsia="宋体"/>
                <w:sz w:val="16"/>
              </w:rPr>
              <w:t>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0A1F3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F520C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A741A">
            <w:pPr>
              <w:jc w:val="center"/>
            </w:pPr>
            <w:r>
              <w:rPr>
                <w:rFonts w:ascii="宋体" w:hAnsi="宋体" w:eastAsia="宋体"/>
                <w:sz w:val="16"/>
              </w:rPr>
              <w:t>得分</w:t>
            </w:r>
          </w:p>
        </w:tc>
      </w:tr>
      <w:tr w14:paraId="0BA724C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3285BE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F9B5B">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7A820A">
            <w:pPr>
              <w:jc w:val="center"/>
            </w:pPr>
            <w:r>
              <w:rPr>
                <w:rFonts w:ascii="宋体" w:hAnsi="宋体" w:eastAsia="宋体"/>
                <w:sz w:val="16"/>
              </w:rPr>
              <w:t>1,390.45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304C7">
            <w:pPr>
              <w:jc w:val="center"/>
            </w:pPr>
            <w:r>
              <w:rPr>
                <w:rFonts w:ascii="宋体" w:hAnsi="宋体" w:eastAsia="宋体"/>
                <w:sz w:val="16"/>
              </w:rPr>
              <w:t>1,528.67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FB6982">
            <w:pPr>
              <w:jc w:val="center"/>
            </w:pPr>
            <w:r>
              <w:rPr>
                <w:rFonts w:ascii="宋体" w:hAnsi="宋体" w:eastAsia="宋体"/>
                <w:sz w:val="16"/>
              </w:rPr>
              <w:t>1,527.96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3AF6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A60CFF">
            <w:pPr>
              <w:jc w:val="center"/>
            </w:pPr>
            <w:r>
              <w:rPr>
                <w:rFonts w:ascii="宋体" w:hAnsi="宋体" w:eastAsia="宋体"/>
                <w:sz w:val="16"/>
              </w:rPr>
              <w:t>99.95%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4DBE8">
            <w:pPr>
              <w:jc w:val="center"/>
            </w:pPr>
            <w:r>
              <w:rPr>
                <w:rFonts w:hint="eastAsia" w:ascii="宋体" w:hAnsi="宋体" w:eastAsia="宋体"/>
                <w:sz w:val="16"/>
              </w:rPr>
              <w:t>9.99</w:t>
            </w:r>
          </w:p>
        </w:tc>
      </w:tr>
      <w:tr w14:paraId="232292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0249D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9AE1D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65E0E5">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4D7286">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B580E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BDF8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52AEE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51A641">
            <w:pPr>
              <w:jc w:val="center"/>
            </w:pPr>
            <w:r>
              <w:rPr>
                <w:rFonts w:ascii="宋体" w:hAnsi="宋体" w:eastAsia="宋体"/>
                <w:sz w:val="16"/>
              </w:rPr>
              <w:t>—</w:t>
            </w:r>
          </w:p>
        </w:tc>
      </w:tr>
      <w:tr w14:paraId="483B5F8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D80AD7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9246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1A2D48">
            <w:pPr>
              <w:jc w:val="center"/>
            </w:pPr>
            <w:r>
              <w:rPr>
                <w:rFonts w:ascii="宋体" w:hAnsi="宋体" w:eastAsia="宋体"/>
                <w:sz w:val="16"/>
              </w:rPr>
              <w:t>1,390.45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E451FF">
            <w:pPr>
              <w:jc w:val="center"/>
            </w:pPr>
            <w:r>
              <w:rPr>
                <w:rFonts w:ascii="宋体" w:hAnsi="宋体" w:eastAsia="宋体"/>
                <w:sz w:val="16"/>
              </w:rPr>
              <w:t>1,528.67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A6421D">
            <w:pPr>
              <w:jc w:val="center"/>
            </w:pPr>
            <w:r>
              <w:rPr>
                <w:rFonts w:ascii="宋体" w:hAnsi="宋体" w:eastAsia="宋体"/>
                <w:sz w:val="16"/>
              </w:rPr>
              <w:t>1,527.96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E741D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18938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B0680A">
            <w:pPr>
              <w:jc w:val="center"/>
            </w:pPr>
            <w:r>
              <w:rPr>
                <w:rFonts w:ascii="宋体" w:hAnsi="宋体" w:eastAsia="宋体"/>
                <w:sz w:val="16"/>
              </w:rPr>
              <w:t>—</w:t>
            </w:r>
          </w:p>
        </w:tc>
      </w:tr>
      <w:tr w14:paraId="1C2D080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978A34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BE62C">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096A7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D48E2">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FEF34F">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6A2DE6">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9A31C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BA625">
            <w:pPr>
              <w:jc w:val="center"/>
            </w:pPr>
            <w:r>
              <w:rPr>
                <w:rFonts w:ascii="宋体" w:hAnsi="宋体" w:eastAsia="宋体"/>
                <w:sz w:val="16"/>
              </w:rPr>
              <w:t>—</w:t>
            </w:r>
          </w:p>
        </w:tc>
      </w:tr>
      <w:tr w14:paraId="476F4AA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21DCC">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48ABFB">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FD7C5B9">
            <w:pPr>
              <w:jc w:val="center"/>
            </w:pPr>
            <w:r>
              <w:rPr>
                <w:rFonts w:ascii="宋体" w:hAnsi="宋体" w:eastAsia="宋体"/>
                <w:sz w:val="16"/>
              </w:rPr>
              <w:t>实际完成情况</w:t>
            </w:r>
          </w:p>
        </w:tc>
      </w:tr>
      <w:tr w14:paraId="5185D5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8A9A281"/>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724C1D">
            <w:pPr>
              <w:jc w:val="both"/>
            </w:pPr>
            <w:r>
              <w:rPr>
                <w:rFonts w:ascii="宋体" w:hAnsi="宋体" w:eastAsia="宋体"/>
                <w:sz w:val="16"/>
              </w:rPr>
              <w:t>单位基本职能：正确贯彻执行党和国家的教育方针、政策、法规；维护学校的教学秩序，为学生创造良好的学习环境；积极稳妥地推进教育改革，按教育规律办事，不断提高教育质量；根据学校规模，设置学校管理机构，建立健全各项规章制度和岗位责任制；坚持教书育人，服务育人，环境育人方针，加强对学生思想品德教育，使学生的德智体全面发展；抓好教师队伍建设，使每个教师都热心于教育事业；做好安全防范，保证学生的人身安全</w:t>
            </w:r>
            <w:r>
              <w:rPr>
                <w:rFonts w:hint="eastAsia" w:ascii="宋体" w:hAnsi="宋体"/>
                <w:sz w:val="16"/>
                <w:lang w:eastAsia="zh-CN"/>
              </w:rPr>
              <w:t>。</w:t>
            </w:r>
            <w:r>
              <w:rPr>
                <w:rFonts w:ascii="宋体" w:hAnsi="宋体" w:eastAsia="宋体"/>
                <w:sz w:val="16"/>
              </w:rPr>
              <w:t xml:space="preserve"> </w:t>
            </w:r>
            <w:r>
              <w:rPr>
                <w:rFonts w:ascii="宋体" w:hAnsi="宋体" w:eastAsia="宋体"/>
                <w:sz w:val="16"/>
              </w:rPr>
              <w:br w:type="textWrapping"/>
            </w:r>
            <w:r>
              <w:rPr>
                <w:rFonts w:ascii="宋体" w:hAnsi="宋体" w:eastAsia="宋体"/>
                <w:sz w:val="16"/>
              </w:rPr>
              <w:t xml:space="preserve">机构设置及人员配置：无下属预算单位，下设4个科室，编制数85，实有人数93人，在职93人。 </w:t>
            </w:r>
            <w:r>
              <w:rPr>
                <w:rFonts w:ascii="宋体" w:hAnsi="宋体" w:eastAsia="宋体"/>
                <w:sz w:val="16"/>
              </w:rPr>
              <w:br w:type="textWrapping"/>
            </w:r>
            <w:r>
              <w:rPr>
                <w:rFonts w:ascii="宋体" w:hAnsi="宋体" w:eastAsia="宋体"/>
                <w:sz w:val="16"/>
              </w:rPr>
              <w:t xml:space="preserve">中长期规划：基于新课标和新课程改革纲要，以扎实推进素质教育为目标，加强理论学习、转变思想观念、深化教研教改工作，全面提高教学质量，不断探索贯彻启发式、探索式学习思想的课堂教学模式。大力推崇开放式的，适应新教材的新型课。强化教师岗位培训，提高教师素质，促进新教师真正从学习型到创新型，老教师从经验性大科研型的转变，扎扎实实做好每一项工作，使教研教改共同代全校基础工作蓬勃发展。 </w:t>
            </w:r>
            <w:r>
              <w:rPr>
                <w:rFonts w:ascii="宋体" w:hAnsi="宋体" w:eastAsia="宋体"/>
                <w:sz w:val="16"/>
              </w:rPr>
              <w:br w:type="textWrapping"/>
            </w:r>
            <w:r>
              <w:rPr>
                <w:rFonts w:ascii="宋体" w:hAnsi="宋体" w:eastAsia="宋体"/>
                <w:sz w:val="16"/>
              </w:rPr>
              <w:t xml:space="preserve">  保障单位在职93人的工资福利及各项补助正常发放及部门正常运转；保障单位预算项目按计划实施，便于开展检查指导学习各级各类学校工作，对全市教师开展培训工作，提高教学能力，为支教教师购买生活物资，提高支教教师幸福感、归属感，积极开展校园文化建设，培养学生身心全面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184FB7">
            <w:pPr>
              <w:jc w:val="both"/>
            </w:pPr>
            <w:r>
              <w:rPr>
                <w:rFonts w:ascii="宋体" w:hAnsi="宋体" w:eastAsia="宋体"/>
                <w:sz w:val="16"/>
              </w:rPr>
              <w:t>本单位共计支出1527.96万元，用于保障部门在职93人的工资福利、各项补助正常发放及部门单位正常运转，单位预算项目根据年初计划均已完成，开展检查指导学习各级各类学校工作，对全市教师开展培训工作，提高教学能力，为教师购买生活物资，提高教师幸福感、归属感，积极开展校园文化建设，培养学生身心全面发展，年度任务中完成法制教育课和交通安全知识讲座15场，教师培训人数85人，保障单位日常运转期限12个月等目标。</w:t>
            </w:r>
          </w:p>
        </w:tc>
      </w:tr>
      <w:tr w14:paraId="3AA7196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BD9B2A">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8B48EED">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F1CFB6">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4CA035">
            <w:pPr>
              <w:jc w:val="center"/>
            </w:pPr>
            <w:r>
              <w:rPr>
                <w:rFonts w:ascii="宋体" w:hAnsi="宋体" w:eastAsia="宋体"/>
                <w:sz w:val="16"/>
              </w:rPr>
              <w:t>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984BAA">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F2C4A2">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7AC1DD1">
            <w:pPr>
              <w:jc w:val="center"/>
            </w:pPr>
            <w:r>
              <w:rPr>
                <w:rFonts w:ascii="宋体" w:hAnsi="宋体" w:eastAsia="宋体"/>
                <w:sz w:val="16"/>
              </w:rPr>
              <w:t>实际完成值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509907">
            <w:pPr>
              <w:jc w:val="center"/>
            </w:pPr>
            <w:r>
              <w:rPr>
                <w:rFonts w:ascii="宋体" w:hAnsi="宋体" w:eastAsia="宋体"/>
                <w:sz w:val="16"/>
              </w:rPr>
              <w:t>得分</w:t>
            </w:r>
          </w:p>
        </w:tc>
      </w:tr>
      <w:tr w14:paraId="1CB2C5EC">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D57A8E1">
            <w:pPr>
              <w:jc w:val="center"/>
            </w:pPr>
            <w:r>
              <w:rPr>
                <w:rFonts w:ascii="宋体" w:hAnsi="宋体" w:eastAsia="宋体"/>
                <w:sz w:val="16"/>
              </w:rPr>
              <w:t>管理效率</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739334">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3FB945">
            <w:pPr>
              <w:jc w:val="center"/>
            </w:pPr>
            <w:r>
              <w:rPr>
                <w:rFonts w:ascii="宋体" w:hAnsi="宋体" w:eastAsia="宋体"/>
                <w:sz w:val="16"/>
              </w:rPr>
              <w:t>法制教育课和交通安全知识讲座</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32E3EF">
            <w:pPr>
              <w:jc w:val="center"/>
            </w:pPr>
            <w:r>
              <w:rPr>
                <w:rFonts w:ascii="宋体" w:hAnsi="宋体" w:eastAsia="宋体"/>
                <w:sz w:val="16"/>
              </w:rPr>
              <w:t>&gt;=15次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EA9BD">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2DC315">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533C20">
            <w:pPr>
              <w:jc w:val="center"/>
            </w:pPr>
            <w:r>
              <w:rPr>
                <w:rFonts w:ascii="宋体" w:hAnsi="宋体" w:eastAsia="宋体"/>
                <w:sz w:val="16"/>
              </w:rPr>
              <w:t>15次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3C385C">
            <w:pPr>
              <w:jc w:val="center"/>
            </w:pPr>
            <w:r>
              <w:rPr>
                <w:rFonts w:ascii="宋体" w:hAnsi="宋体" w:eastAsia="宋体"/>
                <w:sz w:val="16"/>
              </w:rPr>
              <w:t>18</w:t>
            </w:r>
          </w:p>
        </w:tc>
      </w:tr>
      <w:tr w14:paraId="1173C2A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EC4D03">
            <w:pPr>
              <w:jc w:val="center"/>
            </w:pPr>
            <w:r>
              <w:rPr>
                <w:rFonts w:ascii="宋体" w:hAnsi="宋体" w:eastAsia="宋体"/>
                <w:sz w:val="16"/>
              </w:rPr>
              <w:t>履职效能</w:t>
            </w:r>
          </w:p>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9E52E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22B929">
            <w:pPr>
              <w:jc w:val="center"/>
            </w:pPr>
            <w:r>
              <w:rPr>
                <w:rFonts w:ascii="宋体" w:hAnsi="宋体" w:eastAsia="宋体"/>
                <w:sz w:val="16"/>
              </w:rPr>
              <w:t>教师培训人数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75B17C">
            <w:pPr>
              <w:jc w:val="center"/>
            </w:pPr>
            <w:r>
              <w:rPr>
                <w:rFonts w:ascii="宋体" w:hAnsi="宋体" w:eastAsia="宋体"/>
                <w:sz w:val="16"/>
              </w:rPr>
              <w:t>&gt;=85人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FDD744">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CD1A1F">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F881C7">
            <w:pPr>
              <w:jc w:val="center"/>
            </w:pPr>
            <w:r>
              <w:rPr>
                <w:rFonts w:ascii="宋体" w:hAnsi="宋体" w:eastAsia="宋体"/>
                <w:sz w:val="16"/>
              </w:rPr>
              <w:t>85人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8C7C7F">
            <w:pPr>
              <w:jc w:val="center"/>
            </w:pPr>
            <w:r>
              <w:rPr>
                <w:rFonts w:ascii="宋体" w:hAnsi="宋体" w:eastAsia="宋体"/>
                <w:sz w:val="16"/>
              </w:rPr>
              <w:t>18</w:t>
            </w:r>
          </w:p>
        </w:tc>
      </w:tr>
      <w:tr w14:paraId="2771A08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AC308C7"/>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97024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B69BBC">
            <w:pPr>
              <w:jc w:val="center"/>
            </w:pPr>
            <w:r>
              <w:rPr>
                <w:rFonts w:ascii="宋体" w:hAnsi="宋体" w:eastAsia="宋体"/>
                <w:sz w:val="16"/>
              </w:rPr>
              <w:t>保障单位日常运转期限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85CAAE">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64D3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F5BBE4">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6F3EA7">
            <w:pPr>
              <w:jc w:val="center"/>
            </w:pPr>
            <w:r>
              <w:rPr>
                <w:rFonts w:ascii="宋体" w:hAnsi="宋体" w:eastAsia="宋体"/>
                <w:sz w:val="16"/>
              </w:rPr>
              <w:t>12个月</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1B0BF5">
            <w:pPr>
              <w:jc w:val="center"/>
            </w:pPr>
            <w:r>
              <w:rPr>
                <w:rFonts w:ascii="宋体" w:hAnsi="宋体" w:eastAsia="宋体"/>
                <w:sz w:val="16"/>
              </w:rPr>
              <w:t>18</w:t>
            </w:r>
          </w:p>
        </w:tc>
      </w:tr>
      <w:tr w14:paraId="7AC39E7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A1BBE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0FEE2F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EEB904">
            <w:pPr>
              <w:jc w:val="center"/>
            </w:pPr>
            <w:r>
              <w:rPr>
                <w:rFonts w:ascii="宋体" w:hAnsi="宋体" w:eastAsia="宋体"/>
                <w:sz w:val="16"/>
              </w:rPr>
              <w:t>培训合格率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4DCCAF">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3482F0">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AF8B48">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8CA7A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1ADDAB">
            <w:pPr>
              <w:jc w:val="center"/>
            </w:pPr>
            <w:r>
              <w:rPr>
                <w:rFonts w:ascii="宋体" w:hAnsi="宋体" w:eastAsia="宋体"/>
                <w:sz w:val="16"/>
              </w:rPr>
              <w:t>18</w:t>
            </w:r>
          </w:p>
        </w:tc>
      </w:tr>
      <w:tr w14:paraId="61F4760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99B65F">
            <w:pPr>
              <w:jc w:val="center"/>
            </w:pPr>
            <w:r>
              <w:rPr>
                <w:rFonts w:ascii="宋体" w:hAnsi="宋体" w:eastAsia="宋体"/>
                <w:sz w:val="16"/>
              </w:rPr>
              <w:t>社会效益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14B5A8">
            <w:pPr>
              <w:jc w:val="center"/>
            </w:pPr>
            <w:r>
              <w:rPr>
                <w:rFonts w:ascii="宋体" w:hAnsi="宋体" w:eastAsia="宋体"/>
                <w:sz w:val="16"/>
              </w:rPr>
              <w:t>社会效益指标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787256">
            <w:pPr>
              <w:jc w:val="center"/>
            </w:pPr>
            <w:r>
              <w:rPr>
                <w:rFonts w:ascii="宋体" w:hAnsi="宋体" w:eastAsia="宋体"/>
                <w:sz w:val="16"/>
              </w:rPr>
              <w:t>学前教育巩固率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42FB64">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660A97">
            <w:pPr>
              <w:jc w:val="center"/>
            </w:pPr>
            <w:r>
              <w:rPr>
                <w:rFonts w:ascii="宋体" w:hAnsi="宋体" w:eastAsia="宋体"/>
                <w:sz w:val="16"/>
              </w:rPr>
              <w:t>2024年度工作计划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A4BD8B">
            <w:pPr>
              <w:jc w:val="center"/>
            </w:pPr>
            <w:r>
              <w:rPr>
                <w:rFonts w:ascii="宋体" w:hAnsi="宋体" w:eastAsia="宋体"/>
                <w:sz w:val="16"/>
              </w:rPr>
              <w:t>18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CA29C">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FDA040">
            <w:pPr>
              <w:jc w:val="center"/>
            </w:pPr>
            <w:r>
              <w:rPr>
                <w:rFonts w:ascii="宋体" w:hAnsi="宋体" w:eastAsia="宋体"/>
                <w:sz w:val="16"/>
              </w:rPr>
              <w:t>18</w:t>
            </w:r>
          </w:p>
        </w:tc>
      </w:tr>
    </w:tbl>
    <w:p w14:paraId="4036D84B">
      <w:r>
        <w:br w:type="page"/>
      </w:r>
    </w:p>
    <w:p w14:paraId="31182635">
      <w:pPr>
        <w:spacing w:line="640" w:lineRule="exact"/>
        <w:ind w:firstLine="640"/>
        <w:jc w:val="both"/>
        <w:outlineLvl w:val="2"/>
      </w:pPr>
      <w:r>
        <w:rPr>
          <w:rFonts w:ascii="黑体" w:hAnsi="黑体" w:eastAsia="黑体"/>
          <w:sz w:val="32"/>
        </w:rPr>
        <w:t>十二、其他需说明的事项</w:t>
      </w:r>
    </w:p>
    <w:p w14:paraId="4F20E3C8">
      <w:pPr>
        <w:spacing w:line="580" w:lineRule="exact"/>
        <w:ind w:firstLine="640"/>
        <w:jc w:val="both"/>
      </w:pPr>
      <w:r>
        <w:rPr>
          <w:rFonts w:ascii="仿宋_GB2312" w:hAnsi="仿宋_GB2312" w:eastAsia="仿宋_GB2312"/>
          <w:b w:val="0"/>
          <w:sz w:val="32"/>
        </w:rPr>
        <w:t>本单位无其他需说明的事项。</w:t>
      </w:r>
    </w:p>
    <w:p w14:paraId="7381D419">
      <w:r>
        <w:br w:type="page"/>
      </w:r>
    </w:p>
    <w:p w14:paraId="31E92FCC">
      <w:pPr>
        <w:spacing w:line="240" w:lineRule="auto"/>
        <w:jc w:val="center"/>
        <w:outlineLvl w:val="1"/>
      </w:pPr>
      <w:r>
        <w:rPr>
          <w:rFonts w:ascii="黑体" w:hAnsi="黑体" w:eastAsia="黑体"/>
          <w:sz w:val="32"/>
        </w:rPr>
        <w:t>第三部分 专业名词解释</w:t>
      </w:r>
    </w:p>
    <w:p w14:paraId="6ED85B0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2E3FFC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B60907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9267FA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4CB42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C1C341E">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4902C56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B01F45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E3EED7A">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9168110">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0ABDFF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7FA72E8D">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139259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75CE58">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779A2E9">
      <w:r>
        <w:br w:type="page"/>
      </w:r>
    </w:p>
    <w:p w14:paraId="69FFECAC">
      <w:pPr>
        <w:spacing w:line="240" w:lineRule="auto"/>
        <w:jc w:val="center"/>
        <w:outlineLvl w:val="1"/>
      </w:pPr>
      <w:r>
        <w:rPr>
          <w:rFonts w:ascii="黑体" w:hAnsi="黑体" w:eastAsia="黑体"/>
          <w:sz w:val="32"/>
        </w:rPr>
        <w:t>第四部分 部门决算报表（见附表）</w:t>
      </w:r>
    </w:p>
    <w:p w14:paraId="22E86767">
      <w:pPr>
        <w:spacing w:line="240" w:lineRule="auto"/>
        <w:ind w:firstLine="640"/>
        <w:jc w:val="both"/>
      </w:pPr>
      <w:r>
        <w:rPr>
          <w:rFonts w:ascii="仿宋_GB2312" w:hAnsi="仿宋_GB2312" w:eastAsia="仿宋_GB2312"/>
          <w:b w:val="0"/>
          <w:sz w:val="32"/>
        </w:rPr>
        <w:t>一、《收入支出决算总表》</w:t>
      </w:r>
    </w:p>
    <w:p w14:paraId="23C995C6">
      <w:pPr>
        <w:spacing w:line="240" w:lineRule="auto"/>
        <w:ind w:firstLine="640"/>
        <w:jc w:val="both"/>
      </w:pPr>
      <w:r>
        <w:rPr>
          <w:rFonts w:ascii="仿宋_GB2312" w:hAnsi="仿宋_GB2312" w:eastAsia="仿宋_GB2312"/>
          <w:b w:val="0"/>
          <w:sz w:val="32"/>
        </w:rPr>
        <w:t>二、《收入决算表》</w:t>
      </w:r>
    </w:p>
    <w:p w14:paraId="389FD192">
      <w:pPr>
        <w:spacing w:line="240" w:lineRule="auto"/>
        <w:ind w:firstLine="640"/>
        <w:jc w:val="both"/>
      </w:pPr>
      <w:r>
        <w:rPr>
          <w:rFonts w:ascii="仿宋_GB2312" w:hAnsi="仿宋_GB2312" w:eastAsia="仿宋_GB2312"/>
          <w:b w:val="0"/>
          <w:sz w:val="32"/>
        </w:rPr>
        <w:t>三、《支出决算表》</w:t>
      </w:r>
    </w:p>
    <w:p w14:paraId="15146E58">
      <w:pPr>
        <w:spacing w:line="240" w:lineRule="auto"/>
        <w:ind w:firstLine="640"/>
        <w:jc w:val="both"/>
      </w:pPr>
      <w:r>
        <w:rPr>
          <w:rFonts w:ascii="仿宋_GB2312" w:hAnsi="仿宋_GB2312" w:eastAsia="仿宋_GB2312"/>
          <w:b w:val="0"/>
          <w:sz w:val="32"/>
        </w:rPr>
        <w:t>四、《财政拨款收入支出决算总表》</w:t>
      </w:r>
    </w:p>
    <w:p w14:paraId="54C8AFC0">
      <w:pPr>
        <w:spacing w:line="240" w:lineRule="auto"/>
        <w:ind w:firstLine="640"/>
        <w:jc w:val="both"/>
      </w:pPr>
      <w:r>
        <w:rPr>
          <w:rFonts w:ascii="仿宋_GB2312" w:hAnsi="仿宋_GB2312" w:eastAsia="仿宋_GB2312"/>
          <w:b w:val="0"/>
          <w:sz w:val="32"/>
        </w:rPr>
        <w:t>五、《一般公共预算财政拨款支出决算表》</w:t>
      </w:r>
    </w:p>
    <w:p w14:paraId="4A27AB28">
      <w:pPr>
        <w:spacing w:line="240" w:lineRule="auto"/>
        <w:ind w:firstLine="640"/>
        <w:jc w:val="both"/>
      </w:pPr>
      <w:r>
        <w:rPr>
          <w:rFonts w:ascii="仿宋_GB2312" w:hAnsi="仿宋_GB2312" w:eastAsia="仿宋_GB2312"/>
          <w:b w:val="0"/>
          <w:sz w:val="32"/>
        </w:rPr>
        <w:t>六、《一般公共预算财政拨款基本支出决算表》</w:t>
      </w:r>
    </w:p>
    <w:p w14:paraId="76A5F126">
      <w:pPr>
        <w:spacing w:line="240" w:lineRule="auto"/>
        <w:ind w:firstLine="640"/>
        <w:jc w:val="both"/>
      </w:pPr>
      <w:r>
        <w:rPr>
          <w:rFonts w:ascii="仿宋_GB2312" w:hAnsi="仿宋_GB2312" w:eastAsia="仿宋_GB2312"/>
          <w:b w:val="0"/>
          <w:sz w:val="32"/>
        </w:rPr>
        <w:t>七、《政府性基金预算财政拨款收入支出决算表》</w:t>
      </w:r>
    </w:p>
    <w:p w14:paraId="4A976464">
      <w:pPr>
        <w:spacing w:line="240" w:lineRule="auto"/>
        <w:ind w:firstLine="640"/>
        <w:jc w:val="both"/>
      </w:pPr>
      <w:r>
        <w:rPr>
          <w:rFonts w:ascii="仿宋_GB2312" w:hAnsi="仿宋_GB2312" w:eastAsia="仿宋_GB2312"/>
          <w:b w:val="0"/>
          <w:sz w:val="32"/>
        </w:rPr>
        <w:t>八、《国有资本经营预算财政拨款收入支出决算表》</w:t>
      </w:r>
    </w:p>
    <w:p w14:paraId="457AE410">
      <w:pPr>
        <w:spacing w:line="240" w:lineRule="auto"/>
        <w:ind w:firstLine="640"/>
        <w:jc w:val="both"/>
      </w:pPr>
      <w:r>
        <w:rPr>
          <w:rFonts w:ascii="仿宋_GB2312" w:hAnsi="仿宋_GB2312" w:eastAsia="仿宋_GB2312"/>
          <w:b w:val="0"/>
          <w:sz w:val="32"/>
        </w:rPr>
        <w:t>九、《财政拨款“三公”经费支出决算表》</w:t>
      </w:r>
    </w:p>
    <w:p w14:paraId="3FD4B5F9">
      <w:pPr>
        <w:spacing w:line="240" w:lineRule="auto"/>
        <w:ind w:firstLine="640"/>
        <w:jc w:val="both"/>
      </w:pPr>
    </w:p>
    <w:p w14:paraId="679E989B">
      <w:pPr>
        <w:spacing w:line="240" w:lineRule="auto"/>
        <w:ind w:firstLine="640"/>
        <w:jc w:val="both"/>
      </w:pPr>
    </w:p>
    <w:p w14:paraId="38309DE6">
      <w:pPr>
        <w:spacing w:line="240" w:lineRule="auto"/>
        <w:ind w:firstLine="640"/>
        <w:jc w:val="both"/>
      </w:pPr>
    </w:p>
    <w:p w14:paraId="6C8C5BDC">
      <w:pPr>
        <w:spacing w:line="240" w:lineRule="auto"/>
        <w:ind w:firstLine="640"/>
        <w:jc w:val="both"/>
      </w:pPr>
    </w:p>
    <w:p w14:paraId="1A879F4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F7A91D-9E31-4DB7-AF0A-DAB2630FF5E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8C48EF2E-0385-4168-BCAA-961B56108CE5}"/>
  </w:font>
  <w:font w:name="仿宋_GB2312">
    <w:panose1 w:val="02010609030101010101"/>
    <w:charset w:val="86"/>
    <w:family w:val="modern"/>
    <w:pitch w:val="default"/>
    <w:sig w:usb0="00000001" w:usb1="080E0000" w:usb2="00000000" w:usb3="00000000" w:csb0="00040000" w:csb1="00000000"/>
    <w:embedRegular r:id="rId3" w:fontKey="{2A8CCD4E-8E62-425A-ACB3-F697AFFC8CA2}"/>
  </w:font>
  <w:font w:name="楷体_GB2312">
    <w:altName w:val="楷体"/>
    <w:panose1 w:val="00000000000000000000"/>
    <w:charset w:val="00"/>
    <w:family w:val="auto"/>
    <w:pitch w:val="default"/>
    <w:sig w:usb0="00000000" w:usb1="00000000" w:usb2="00000000" w:usb3="00000000" w:csb0="00000000" w:csb1="00000000"/>
    <w:embedRegular r:id="rId4" w:fontKey="{6A17C10B-0EFC-4A6C-8795-F47BBAEFA342}"/>
  </w:font>
  <w:font w:name="楷体">
    <w:panose1 w:val="02010609060101010101"/>
    <w:charset w:val="86"/>
    <w:family w:val="auto"/>
    <w:pitch w:val="default"/>
    <w:sig w:usb0="800002BF" w:usb1="38CF7CFA" w:usb2="00000016" w:usb3="00000000" w:csb0="00040001" w:csb1="00000000"/>
  </w:font>
  <w:font w:name="WPSEMBED1">
    <w:panose1 w:val="02000000000000000000"/>
    <w:charset w:val="86"/>
    <w:family w:val="auto"/>
    <w:pitch w:val="default"/>
    <w:sig w:usb0="A00002BF" w:usb1="38CF7CFA" w:usb2="00082016" w:usb3="00000000" w:csb0="00040001" w:csb1="00000000"/>
  </w:font>
  <w:font w:name="WPSEMBED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497547"/>
    <w:rsid w:val="021B7195"/>
    <w:rsid w:val="02F73D26"/>
    <w:rsid w:val="034D4FEF"/>
    <w:rsid w:val="043E5B56"/>
    <w:rsid w:val="06792773"/>
    <w:rsid w:val="078C04FD"/>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8E6205"/>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7581193"/>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3862</Words>
  <Characters>4500</Characters>
  <Lines>0</Lines>
  <Paragraphs>0</Paragraphs>
  <TotalTime>13</TotalTime>
  <ScaleCrop>false</ScaleCrop>
  <LinksUpToDate>false</LinksUpToDate>
  <CharactersWithSpaces>4508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GaYi.</cp:lastModifiedBy>
  <cp:lastPrinted>2024-07-22T11:58:00Z</cp:lastPrinted>
  <dcterms:modified xsi:type="dcterms:W3CDTF">2025-09-08T08:23:23Z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eyJoZGlkIjoiNTliMzZiYjRlN2VlNDIwNWJkNWMyNGYxMWEyN2ViYWUiLCJ1c2VySWQiOiI0NDQ5NDYzNjEifQ==</vt:lpwstr>
  </property>
</Properties>
</file>