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“1.23”乌什7.1级地震因灾倒损住房恢复重建补助资金项目支出绩效评价报告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项目名称：“1.23”乌什7.1级地震因灾倒损住房恢复重建补助资金</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项目单位：阿图什市住房和城乡建设局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主管部门：阿图什市住房和城乡建设局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23</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“1.23”乌什7.1级地震因灾倒损住房恢复重建补助资金项目支出绩效评价报告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阿图什市位于地震多发区域，地震的发生会对当地居民的住房造成不同程度的损坏甚至倒塌，严重影响居民的正常生活和居住安全。新疆曾发生多次地震，对包括阿图什市在内的地区房屋等基础设施带来破坏，威胁群众生命财产安全。住房是居民生活的基本保障，因地震导致住房受损或倒塌后，受灾群众急需得到帮助来恢复重建住房，以尽快恢复正常生活。实施补助资金项目，能为受灾群众提供资金支持，帮助他们重建家园，保障其基本居住需求，维护社会稳定。</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国家和地方政府高度重视自然灾害救助工作，出台了一系列政策法规，要求对因灾倒损住房进行恢复重建救助。应急管理部明确规定，对于国家启动救灾应急响应的重大自然灾害倒损住房恢复重建救助工作，地方各级应急管理、财政部门要做好相关工作，中央财政给予适当补助，为阿图什市实施该项目提供了政策依据和资金支持。地震造成的住房损失往往使受灾群众承受巨大的经济压力，仅靠自身力量难以完成住房的恢复重建。补助资金项目的实施可以减轻受灾群众的经济负担，帮助他们渡过难关，避免因灾致贫返贫。</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下达“1·23”乌什7.1级地震因灾倒损住房恢复重建补助资金预算的通知》克财建【2024】62号文件、《关于下达“1.23”乌什7.1级地震因灾倒损住房恢复重建补助资金预算的通知》阿财建【2024】55号文件，下达资金4681.55万元，用于受灾群众倒损住房修复重建补助。</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实施主体：本项目的主管部门为阿图什市住房和城乡建设局,实施单位为阿图什市住房和城乡建设局，主要职责</w:t>
      </w:r>
      <w:r>
        <w:rPr>
          <w:rFonts w:ascii="仿宋_GB2312" w:hAnsi="仿宋_GB2312" w:cs="仿宋_GB2312" w:hint="eastAsia"/>
          <w:bCs/>
          <w:color w:val="auto"/>
          <w:sz w:val="32"/>
          <w:szCs w:val="30"/>
          <w:highlight w:val="none"/>
          <w:lang w:eastAsia="zh-CN"/>
        </w:rPr>
        <w:t xml:space="preserve">：承担保障城镇低收入家庭住房的责任。拟订全市住房保障相关政策并指导实施，会同有关部门做好有关住房保障资金安排工作，监督组织实施。编制住房保障发展规划和年度计划并监督实施。做好适合全市的住房政策，指导住房建设和住房制度改革，拟订全市住房建设规划并指导实施承担规范和指导全市村镇建设的责任。拟订村庄和小城镇建设政策并组织实施、指导农村住房建设和安全及危房改造，指导村庄和小城镇人居生态环境的改善工作，指导全市重点（示范）镇的建设。</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8</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0</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lang w:eastAsia="zh-CN"/>
        </w:rPr>
      </w:pPr>
      <w:r>
        <w:rPr>
          <w:rFonts w:ascii="仿宋_GB2312" w:hAnsi="仿宋_GB2312" w:cs="仿宋_GB2312" w:hint="eastAsia"/>
          <w:bCs/>
          <w:color w:val="auto"/>
          <w:sz w:val="32"/>
          <w:szCs w:val="30"/>
          <w:highlight w:val="none"/>
        </w:rPr>
        <w:t xml:space="preserve">本项目的实施符合《关于下达“1·23”乌什7.1级地震因灾倒损住房恢复重建补助资金预算的通知》克财建〔2024〕62号文件、《关于下达“1.23”乌什7.1级地震因灾倒损住房恢复重建补助资金预算的通知》财建〔2024〕55号文件</w:t>
      </w:r>
      <w:r>
        <w:rPr>
          <w:rFonts w:ascii="仿宋_GB2312" w:hAnsi="仿宋_GB2312" w:cs="仿宋_GB2312" w:hint="eastAsia"/>
          <w:bCs/>
          <w:color w:val="auto"/>
          <w:sz w:val="32"/>
          <w:szCs w:val="30"/>
          <w:highlight w:val="none"/>
          <w:lang w:val="en-US" w:eastAsia="zh-CN"/>
        </w:rPr>
        <w:t xml:space="preserve">的资金支持及</w:t>
      </w:r>
      <w:r>
        <w:rPr>
          <w:rFonts w:ascii="仿宋_GB2312" w:hAnsi="仿宋_GB2312" w:cs="仿宋_GB2312" w:hint="eastAsia"/>
          <w:bCs/>
          <w:color w:val="auto"/>
          <w:sz w:val="32"/>
          <w:szCs w:val="30"/>
          <w:highlight w:val="none"/>
        </w:rPr>
        <w:t xml:space="preserve">相关政策要求，</w:t>
      </w:r>
      <w:r>
        <w:rPr>
          <w:rFonts w:ascii="仿宋_GB2312" w:hAnsi="仿宋_GB2312" w:cs="仿宋_GB2312" w:hint="eastAsia"/>
          <w:bCs/>
          <w:color w:val="auto"/>
          <w:sz w:val="32"/>
          <w:szCs w:val="30"/>
          <w:highlight w:val="none"/>
          <w:lang w:val="en-US" w:eastAsia="zh-CN"/>
        </w:rPr>
        <w:t xml:space="preserve">全年实际保障</w:t>
      </w:r>
      <w:r>
        <w:rPr>
          <w:rFonts w:ascii="仿宋_GB2312" w:hAnsi="仿宋_GB2312" w:cs="仿宋_GB2312" w:hint="eastAsia"/>
          <w:bCs/>
          <w:color w:val="auto"/>
          <w:sz w:val="32"/>
          <w:szCs w:val="30"/>
          <w:highlight w:val="none"/>
        </w:rPr>
        <w:t xml:space="preserve">地震重点危险区农村住房抗震改造户数595户，牧民越冬放牧点用房（居住）灾后重建户数1492户；通过实施本项目</w:t>
      </w:r>
      <w:r>
        <w:rPr>
          <w:rFonts w:ascii="仿宋_GB2312" w:hAnsi="仿宋_GB2312" w:cs="仿宋_GB2312" w:hint="eastAsia"/>
          <w:bCs/>
          <w:color w:val="auto"/>
          <w:sz w:val="32"/>
          <w:szCs w:val="30"/>
          <w:highlight w:val="none"/>
          <w:lang w:eastAsia="zh-CN"/>
        </w:rPr>
        <w:t xml:space="preserve">，减轻</w:t>
      </w:r>
      <w:r>
        <w:rPr>
          <w:rFonts w:ascii="仿宋_GB2312" w:hAnsi="仿宋_GB2312" w:cs="仿宋_GB2312" w:hint="eastAsia"/>
          <w:bCs/>
          <w:color w:val="auto"/>
          <w:sz w:val="32"/>
          <w:szCs w:val="30"/>
          <w:highlight w:val="none"/>
          <w:lang w:val="en-US" w:eastAsia="zh-CN"/>
        </w:rPr>
        <w:t xml:space="preserve">了</w:t>
      </w:r>
      <w:r>
        <w:rPr>
          <w:rFonts w:ascii="仿宋_GB2312" w:hAnsi="仿宋_GB2312" w:cs="仿宋_GB2312" w:hint="eastAsia"/>
          <w:bCs/>
          <w:color w:val="auto"/>
          <w:sz w:val="32"/>
          <w:szCs w:val="30"/>
          <w:highlight w:val="none"/>
          <w:lang w:eastAsia="zh-CN"/>
        </w:rPr>
        <w:t xml:space="preserve">受灾群众的经济负担，帮助他们渡过难关，避免因灾致贫返贫。</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资金投入情况：本项目总投资4681.55万元，资金来源为自治区专项资金。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资金使用情况：根据项目实施情况，项目资金实际支付4283.96万元，资金执行率达到</w:t>
      </w:r>
      <w:r>
        <w:rPr>
          <w:rStyle w:val="Strong"/>
          <w:rFonts w:ascii="仿宋_GB2312" w:hAnsi="仿宋_GB2312" w:cs="仿宋_GB2312" w:hint="eastAsia"/>
          <w:b w:val="0"/>
          <w:color w:val="auto"/>
          <w:spacing w:val="-4"/>
          <w:sz w:val="32"/>
          <w:szCs w:val="30"/>
          <w:highlight w:val="none"/>
          <w:lang w:val="en-US" w:eastAsia="zh-CN"/>
        </w:rPr>
        <w:t xml:space="preserve">91.5</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地震重点危险区农村住房抗震改造成本1100.75万元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牧民越冬放牧点用房（居住）灾后重建成本3183.21万元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地震重点危险区农村住房抗震改造补助标准1.85万元/户</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Style w:val="Strong"/>
          <w:rFonts w:ascii="仿宋_GB2312" w:hint="eastAsia"/>
          <w:b w:val="0"/>
          <w:color w:val="auto"/>
          <w:spacing w:val="-4"/>
          <w:sz w:val="32"/>
          <w:highlight w:val="none"/>
        </w:rPr>
      </w:pPr>
      <w:r>
        <w:rPr>
          <w:rFonts w:ascii="仿宋_GB2312" w:hAnsi="仿宋_GB2312" w:cs="仿宋_GB2312" w:hint="eastAsia"/>
          <w:color w:val="auto"/>
          <w:szCs w:val="30"/>
          <w:highlight w:val="none"/>
        </w:rPr>
        <w:t xml:space="preserve">牧民越冬放牧点用房（居住）灾后重建补助标准2.4万元/户</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下达“1·23”乌什7.1级地震因灾倒损住房恢复重建补助资金预算的通知》克财建【2024】62号文件、《关于下达“1.23”乌什7.1级地震因灾倒损住房恢复重建补助资金预算的通知》阿财建【2024】55号文件，下达资金4681.55万元，用于受灾群众倒损住房修复重建补助。</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年“1.23”乌什7.1级地震因灾倒损住房恢复重建补助资金项目从预算编制合理性、资金使用合规性、项目管理的规范性、实施情况、总体绩效目标、各项绩效指标完成情况以及预算执行情况进行科学性评价。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1.23”乌什7.1级地震因灾倒损住房恢复重建补助资金项目的深入调研基础上，按照《项目支出绩效评价管理办法》（财预〔2021〕10号）对于指标体系的要求和规范，建立一套适合评价“1.23”乌什7.1级地震因灾倒损住房恢复重建补助资金项目的指标体系，从项目决策、项目过程、项目产出和项目绩效四个维度全面考察“1.23”乌什7.1级地震因灾倒损住房恢复重建补助资金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default"/>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“1.23”乌什7.1级地震因灾倒损住房恢复重建补助资金项目属于政策类（转移性支出）项目，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lang w:val="en-US" w:eastAsia="zh-CN"/>
              </w:rPr>
              <w:t xml:space="preserve">叶磊</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焦亮</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吉尔史拉</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1.23”乌什7.1级地震因灾倒损住房恢复重建补助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专项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组织管理、产出与效益效果。在此基础上，以相关的项目数据为基础，综合运用不同的评价方法，结合评价标准和评分规则，“1.23”乌什7.1级地震因灾倒损住房恢复重建补助资金项目综合得分为98.4分，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hint="eastAsia"/>
          <w:b/>
          <w:color w:val="auto"/>
          <w:sz w:val="32"/>
          <w:szCs w:val="32"/>
          <w:highlight w:val="none"/>
          <w:lang w:val="en-US" w:eastAsia="zh-CN" w:bidi="ar-SA"/>
        </w:rPr>
        <w:t xml:space="preserve">4年“1.23”乌什7.1级地震因灾倒损住房恢复重建补助资金项目评价得分情况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16.58</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预算执行率91.5%</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26.82</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3条指标未完成</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98.4</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年“1.23”乌什7.1级地震因灾倒损住房恢复重建补助资金项目资金达到了年初设立的绩效目标，在实施过程中取得了良好的成效，具体表现在以下几点：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本项目根据</w:t>
      </w:r>
      <w:r>
        <w:rPr>
          <w:rFonts w:ascii="仿宋_GB2312" w:hAnsi="仿宋_GB2312" w:cs="仿宋_GB2312" w:hint="eastAsia"/>
          <w:color w:val="auto"/>
          <w:sz w:val="32"/>
          <w:szCs w:val="32"/>
          <w:highlight w:val="none"/>
        </w:rPr>
        <w:t xml:space="preserve">《关于下达“1·23”乌什7.1级地震因灾倒损住房恢复重建补助资金预算的通知》克财建〔2024〕62号文件、《关于下达“1.23”乌什7.1级地震因灾倒损住房恢复重建补助资金预算的通知》财建〔2024〕55号文件的资金支持及相关政策要求，全年实际保障地震重点危险区农村住房抗震改造户数595户，牧民越冬放牧点用房（居住）灾后重建户数1492户；通过实施本项目，减轻了受灾群众的经济负担，帮助他们渡过难关，避免因灾致贫返贫。</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“1.23”乌什7.1级地震因灾倒损住房恢复重建补助资金项目</w:t>
      </w:r>
      <w:r>
        <w:rPr>
          <w:rFonts w:ascii="仿宋_GB2312" w:hAnsi="仿宋_GB2312" w:cs="仿宋_GB2312" w:hint="eastAsia"/>
          <w:color w:val="auto"/>
          <w:sz w:val="32"/>
          <w:szCs w:val="32"/>
          <w:highlight w:val="none"/>
        </w:rPr>
        <w:t xml:space="preserve">支出共计4283.96万元，评价得分值</w:t>
      </w:r>
      <w:r>
        <w:rPr>
          <w:rFonts w:ascii="仿宋_GB2312" w:hAnsi="仿宋_GB2312" w:cs="仿宋_GB2312" w:hint="eastAsia"/>
          <w:color w:val="auto"/>
          <w:sz w:val="32"/>
          <w:szCs w:val="32"/>
          <w:highlight w:val="none"/>
          <w:lang w:val="en-US" w:eastAsia="zh-CN"/>
        </w:rPr>
        <w:t xml:space="preserve">98.4</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“1.23”乌什7.1级地震因灾倒损住房恢复重建补助资金项目预算依据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1.23”乌什7.1级地震因灾倒损住房恢复重建补助资金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1.23”乌什7.1级地震因灾倒损住房恢复重建补助资金项目组织形式，明确了该项目经费的开支范围为</w:t>
      </w:r>
      <w:r>
        <w:rPr>
          <w:rFonts w:ascii="仿宋_GB2312" w:hAnsi="仿宋_GB2312" w:cs="仿宋_GB2312" w:hint="eastAsia"/>
          <w:color w:val="auto"/>
          <w:sz w:val="32"/>
          <w:szCs w:val="32"/>
          <w:highlight w:val="none"/>
          <w:lang w:val="en-US" w:eastAsia="zh-CN"/>
        </w:rPr>
        <w:t xml:space="preserve">抗震救灾补助</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（5）依照专项资金管理制度，按照不定期检查与项目周期检查相结合的方式，对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1.23”乌什7.1级地震因灾倒损住房恢复重建补助资金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数量指标为地震重点危险区农村住房抗震改造户数，预期指标值是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595户，实际完成值是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595户，指标达到预期目标。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数量指标为牧民越冬放牧点用房（居住）灾后重建户数，预期指标值是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1492户，实际完成值是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1492户，指标达到预期目标。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质量指标为资金使用率，预期指标值是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92.4%，指标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达到预期目标。原因：根据实际情况进行支出，剩余资金为质保金，结转至2025年支付；措施：及时申请并支付项目资金，基本达到预期效果。</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质量指标为倒损住房完工率，预期指标值是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时效指标为项目完工时间，预期指标值是2024年10月，实际完成值是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2024年10月，指标达到预期目标。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成本指标为地震重点危险区农村住房抗震改造成本，预期指标值是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1100.75万元，实际完成值是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1100.75万元，指标达到预期目标。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成本指标为牧民越冬放牧点用房（居住）灾后重建成本，预期指标值是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3580.80万元，实际完成值是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3183.21万元，指标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达到预期目标。原因：根据实际情况进行支出，剩余资金为质保金，结转至2025年支付；措施：及时申请并支付项目资金，基本达到预期效果。</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成本指标为地震重点危险区农村住房抗震改造补助标准，预期指标值是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1.85万元/户，实际完成值是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1.85万元/户，指标达到预期目标。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成本指标为牧民越冬放牧点用房（居住）灾后重建补助标准，预期指标值是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2.40万元/户，实际完成值是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2.4万元/户，指标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达到预期目标。原因：根据实际情况进行支出，剩余资金为质保金，结转至2025年支付；措施：及时申请并支付项目资金，基本达到预期效果。</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指标为让受灾群众有基本住房，预期指标值是有效保障，实际完成值是有效保障，指标达到预期目标。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满意度指标为受益群众满意度，预期指标值是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rPr>
        <w:t xml:space="preserve">偏差原因：根据实际</w:t>
      </w:r>
      <w:r>
        <w:rPr>
          <w:rFonts w:hint="eastAsia"/>
          <w:color w:val="auto"/>
          <w:sz w:val="32"/>
          <w:highlight w:val="none"/>
          <w:lang w:val="en-US" w:eastAsia="zh-CN"/>
        </w:rPr>
        <w:t xml:space="preserve">实施补助</w:t>
      </w:r>
      <w:r>
        <w:rPr>
          <w:rFonts w:hint="eastAsia"/>
          <w:color w:val="auto"/>
          <w:sz w:val="32"/>
          <w:highlight w:val="none"/>
        </w:rPr>
        <w:t xml:space="preserve">情况进行支出，剩余资金为质保金，结转至2025年支付</w:t>
      </w:r>
      <w:r>
        <w:rPr>
          <w:rFonts w:hint="eastAsia"/>
          <w:color w:val="auto"/>
          <w:sz w:val="32"/>
          <w:highlight w:val="none"/>
          <w:lang w:eastAsia="zh-CN"/>
        </w:rPr>
        <w:t xml:space="preserve">，</w:t>
      </w:r>
      <w:r>
        <w:rPr>
          <w:rFonts w:hint="eastAsia"/>
          <w:color w:val="auto"/>
          <w:sz w:val="32"/>
          <w:highlight w:val="none"/>
          <w:lang w:val="en-US" w:eastAsia="zh-CN"/>
        </w:rPr>
        <w:t xml:space="preserve">重建房屋质量达标预期要求后支付</w:t>
      </w:r>
      <w:r>
        <w:rPr>
          <w:rFonts w:hint="eastAsia"/>
          <w:color w:val="auto"/>
          <w:sz w:val="32"/>
          <w:highlight w:val="none"/>
          <w:lang w:eastAsia="zh-CN"/>
        </w:rPr>
        <w:t xml:space="preserve">，</w:t>
      </w:r>
      <w:r>
        <w:rPr>
          <w:rFonts w:hint="eastAsia"/>
          <w:color w:val="auto"/>
          <w:sz w:val="32"/>
          <w:highlight w:val="none"/>
          <w:lang w:val="en-US" w:eastAsia="zh-CN"/>
        </w:rPr>
        <w:t xml:space="preserve">因此预算执行率未达预期目标，今后需</w:t>
      </w:r>
      <w:r>
        <w:rPr>
          <w:rFonts w:hint="eastAsia"/>
          <w:color w:val="auto"/>
          <w:sz w:val="32"/>
          <w:highlight w:val="none"/>
        </w:rPr>
        <w:t xml:space="preserve">及时申请并支付项目资金，</w:t>
      </w:r>
      <w:r>
        <w:rPr>
          <w:rFonts w:hint="eastAsia"/>
          <w:color w:val="auto"/>
          <w:sz w:val="32"/>
          <w:highlight w:val="none"/>
          <w:lang w:val="en-US" w:eastAsia="zh-CN"/>
        </w:rPr>
        <w:t xml:space="preserve">提高预算执行率</w:t>
      </w:r>
      <w:r>
        <w:rPr>
          <w:rFonts w:hint="eastAsia"/>
          <w:color w:val="auto"/>
          <w:sz w:val="32"/>
          <w:highlight w:val="none"/>
        </w:rPr>
        <w:t xml:space="preserve">。</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rPr>
              <w:t xml:space="preserve">4.</w:t>
            </w:r>
            <w:r>
              <w:rPr>
                <w:rFonts w:ascii="仿宋_GB2312" w:hAnsi="仿宋_GB2312" w:cs="仿宋_GB2312" w:hint="eastAsia"/>
                <w:color w:val="auto"/>
                <w:sz w:val="24"/>
                <w:highlight w:val="none"/>
                <w:lang w:val="en-US" w:eastAsia="zh-CN"/>
              </w:rPr>
              <w:t xml:space="preserve">58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6.41</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6.41</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98.4</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1EF89013D26342E1B288D3B22D82D23C_13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24</TotalTime>
  <Pages>21</Pages>
  <Words>9411</Words>
  <Characters>9842</Characters>
  <Application>WPS Office_12.1.0.15120_F1E327BC-269C-435d-A152-05C5408002CA</Application>
  <DocSecurity>0</DocSecurity>
  <Lines>56</Lines>
  <Paragraphs>15</Paragraphs>
  <Company>P R C</Company>
  <CharactersWithSpaces>9852</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1EF89013D26342E1B288D3B22D82D23C_13</vt:lpwstr>
  </property>
  <property fmtid="{D5CDD505-2E9C-101B-9397-08002B2CF9AE}" pid="4" name="KSOTemplateDocerSaveRecord">
    <vt:lpwstr>eyJoZGlkIjoiYzZkNzQ4ZWFiZmQ4NTRhOWRkZTk3YTMwMjlmMmZhYmUiLCJ1c2VySWQiOiI1NzgxMjU4NDIifQ_x003D__x003D_</vt:lpwstr>
  </property>
</Properties>
</file>