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2024年业务工作经费项目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项目名称：2024年业务工作经费项目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项目单位：中共阿图什市纪律检查委员会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主管部门：中共阿图什市纪律检查委员会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2024年业务工作经费项目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根据《关于拨付公检法等政法机关办案费用两点规定的通知》，在做好罚没收入收缴入库的同时，认真安排好办案经费的核拨工作。各级财政部门对于公检法部门所需的办案经费，应根据实际需要编列支出预算，予以核拨。《关于拨付公检法等政法机关办案费用两点规定的通知》，在做好罚没收入收缴入库的同时，认真安排好办案经费的核拨工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拨付公检法等政法机关办案费用两点规定的通知》，本项目安排资金300万元，主要保障办公楼数量2个，保障机关食堂数量1个，工作经费保障部门数量25个，建设廉政文化、设备采购项目2个；通过项目的实施进一步提升办公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纪律检查委员会,实施单位为中共阿图什市纪律检查委员会，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300</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256.16</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85.4</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保障办公楼成本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7.49万元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食堂补助成本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60.8万元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工作经费保障部门成本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120.79万元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廉政文化、信息化设备采购成本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67.08万元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拨付公检法等政法机关办案费用两点规定的通知》，本项目安排资金300万元，主要保障办公楼数量2个，保障机关食堂数量1个，工作经费保障部门数量25个，建设廉政文化、设备采购项目2个；通过项目的实施进一步提升办公效率。</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2024年业务工作经费项目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2024年业务工作经费项目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2024年业务工作经费项目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2024年业务工作经费项目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2024年业务工作经费项目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1"/>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25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评价人</w:t>
            </w:r>
          </w:p>
        </w:tc>
        <w:tc>
          <w:tcPr>
            <w:tcW w:w="182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25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李谦</w:t>
            </w:r>
          </w:p>
        </w:tc>
        <w:tc>
          <w:tcPr>
            <w:tcW w:w="182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评价组组长</w:t>
            </w:r>
          </w:p>
        </w:tc>
        <w:tc>
          <w:tcPr>
            <w:tcW w:w="3901"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jc w:val="center"/>
        </w:trPr>
        <w:tc>
          <w:tcPr>
            <w:tcW w:w="25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赵海明</w:t>
            </w:r>
          </w:p>
        </w:tc>
        <w:tc>
          <w:tcPr>
            <w:tcW w:w="182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闫晓楠</w:t>
            </w:r>
          </w:p>
        </w:tc>
        <w:tc>
          <w:tcPr>
            <w:tcW w:w="182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业务工作经费项目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组织管理、产出与效益效果。在此基础上，以相关的项目数据为基础，综合运用不同的评价方法，结合评价标准和评分规则，2024年业务工作经费项目综合得分为92.43分，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2024年业务工作经费项目评价得分情况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10" w:hRule="exact"/>
          <w:jc w:val="center"/>
        </w:trPr>
        <w:tc>
          <w:tcPr>
            <w:tcW w:w="1447"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0"/>
              <w:keepNext w:val="0"/>
              <w:keepLines w:val="0"/>
              <w:pageBreakBefore w:val="0"/>
              <w:widowControl w:val="0"/>
              <w:kinsoku/>
              <w:wordWrap/>
              <w:overflowPunct/>
              <w:topLinePunct w:val="0"/>
              <w:autoSpaceDE/>
              <w:autoSpaceDN/>
              <w:bidi w:val="0"/>
              <w:adjustRightInd/>
              <w:snapToGrid/>
              <w:spacing w:line="500" w:lineRule="exact"/>
              <w:ind w:firstLine="0"/>
              <w:textAlignment w:val="auto"/>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41" w:hRule="exact"/>
          <w:jc w:val="center"/>
        </w:trPr>
        <w:tc>
          <w:tcPr>
            <w:tcW w:w="1447"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380"/>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16.27</w:t>
            </w:r>
          </w:p>
        </w:tc>
        <w:tc>
          <w:tcPr>
            <w:tcW w:w="3866" w:type="dxa"/>
            <w:tcBorders>
              <w:top w:val="single" w:color="auto" w:sz="4" w:space="0"/>
              <w:left w:val="single" w:color="auto" w:sz="4" w:space="0"/>
              <w:right w:val="single" w:color="auto" w:sz="4" w:space="0"/>
            </w:tcBorders>
            <w:shd w:val="clear" w:color="auto" w:fill="FFFFFF"/>
            <w:vAlign w:val="bottom"/>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预算执行率扣0.73分</w:t>
            </w:r>
          </w:p>
        </w:tc>
      </w:tr>
      <w:tr>
        <w:tblPrEx>
          <w:tblLayout w:type="fixed"/>
          <w:tblCellMar>
            <w:top w:w="0" w:type="dxa"/>
            <w:left w:w="10" w:type="dxa"/>
            <w:bottom w:w="0" w:type="dxa"/>
            <w:right w:w="10" w:type="dxa"/>
          </w:tblCellMar>
        </w:tblPrEx>
        <w:trPr>
          <w:trHeight w:val="1499" w:hRule="exact"/>
          <w:jc w:val="center"/>
        </w:trPr>
        <w:tc>
          <w:tcPr>
            <w:tcW w:w="1447"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23.16</w:t>
            </w:r>
          </w:p>
        </w:tc>
        <w:tc>
          <w:tcPr>
            <w:tcW w:w="3866" w:type="dxa"/>
            <w:tcBorders>
              <w:top w:val="single" w:color="auto" w:sz="4" w:space="0"/>
              <w:left w:val="single" w:color="auto" w:sz="4" w:space="0"/>
              <w:right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数量指标扣0.08分</w:t>
            </w:r>
          </w:p>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时效指标扣1.46分</w:t>
            </w:r>
          </w:p>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成本指标扣5.3分</w:t>
            </w:r>
          </w:p>
        </w:tc>
      </w:tr>
      <w:tr>
        <w:tblPrEx>
          <w:tblLayout w:type="fixed"/>
          <w:tblCellMar>
            <w:top w:w="0" w:type="dxa"/>
            <w:left w:w="10" w:type="dxa"/>
            <w:bottom w:w="0" w:type="dxa"/>
            <w:right w:w="10" w:type="dxa"/>
          </w:tblCellMar>
        </w:tblPrEx>
        <w:trPr>
          <w:trHeight w:val="599"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621"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0"/>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92.43</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2024年业务工作经费项目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年已完成保障办公楼数量2个，保障机关食堂数量1个，工作经费保障部门数量26个，建设廉政文化、信息化设备采购项目2个等工作；通过该项目的实施进一步提升办公效率</w:t>
      </w:r>
      <w:r>
        <w:rPr>
          <w:rFonts w:hint="eastAsia" w:ascii="仿宋_GB2312" w:hAnsi="仿宋_GB2312" w:cs="仿宋_GB2312"/>
          <w:color w:val="auto"/>
          <w:sz w:val="32"/>
          <w:szCs w:val="32"/>
          <w:highlight w:val="none"/>
          <w:lang w:eastAsia="zh-CN"/>
        </w:rPr>
        <w:t>。</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2024年业务工作经费项目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256.16</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92.43</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业务工作经费项目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2024年业务工作经费项目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2024年业务工作经费项目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2024年业务工作经费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2024年业务工作经费项目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数量指标为保障机关食堂数量，预期指标值是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数量指标为保障办公楼数量，预期指标值是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2栋，实际完成值是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2栋，指标达到预期目标。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数量指标为工作经费保障部门数量，预期指标值是</w:t>
      </w:r>
      <w:r>
        <w:rPr>
          <w:rFonts w:hint="eastAsia" w:ascii="仿宋_GB2312" w:hAnsi="仿宋_GB2312" w:cs="仿宋_GB2312"/>
          <w:color w:val="auto"/>
          <w:sz w:val="32"/>
          <w:szCs w:val="32"/>
          <w:highlight w:val="none"/>
          <w:lang w:val="en-US" w:eastAsia="zh-CN"/>
        </w:rPr>
        <w:t>大于等于</w:t>
      </w:r>
      <w:r>
        <w:rPr>
          <w:rFonts w:hint="eastAsia" w:ascii="仿宋_GB2312" w:hAnsi="仿宋_GB2312" w:cs="仿宋_GB2312"/>
          <w:color w:val="auto"/>
          <w:sz w:val="32"/>
          <w:szCs w:val="32"/>
          <w:highlight w:val="none"/>
        </w:rPr>
        <w:t>25个，实际完成值是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26个，指标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达到预期目标。原因：年中增加1个部门科室，因此指标存在偏差；措施：今后做好全年计划，减少指标偏差率，提高工作质量。</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数量指标为廉政文化、信息化设备采购项目数量，预期指标值是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2个，指标达到预期目标。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质量指标为食堂正常运转率，预期指标值是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质量指标为设备验收合格率，预期指标值是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color w:val="auto"/>
          <w:sz w:val="32"/>
          <w:szCs w:val="32"/>
          <w:highlight w:val="none"/>
        </w:rPr>
        <w:t>时效指标为保障经费支付及时率，预期指标值是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85.4%，指标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达到预期目标。原因：根据实际产生的费用进行支出，年初预算计划不够精准，指标存在偏差；措施：今后做好年初预算编制工作，提高预算执行率，减少偏差</w:t>
      </w:r>
      <w:r>
        <w:rPr>
          <w:rFonts w:hint="eastAsia" w:ascii="仿宋_GB2312"/>
          <w:color w:val="auto"/>
          <w:sz w:val="32"/>
          <w:szCs w:val="32"/>
          <w:highlight w:val="none"/>
          <w:lang w:eastAsia="zh-CN"/>
        </w:rPr>
        <w:t>。</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color w:val="auto"/>
          <w:sz w:val="32"/>
          <w:szCs w:val="32"/>
          <w:highlight w:val="none"/>
        </w:rPr>
        <w:t>成本指标为保障办公楼成本，预期指标值是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7.49万元，指标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达到预期目标。原因：根据实际产生的费用进行支出，年初预算计划不够精准，指标存在偏差；措施：今后做好年初预算编制工作，提高预算执行率，减少偏差</w:t>
      </w:r>
      <w:r>
        <w:rPr>
          <w:rFonts w:hint="eastAsia" w:ascii="仿宋_GB2312"/>
          <w:color w:val="auto"/>
          <w:sz w:val="32"/>
          <w:szCs w:val="32"/>
          <w:highlight w:val="none"/>
          <w:lang w:eastAsia="zh-CN"/>
        </w:rPr>
        <w:t>。</w:t>
      </w:r>
    </w:p>
    <w:p>
      <w:pPr>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color w:val="auto"/>
          <w:sz w:val="32"/>
          <w:szCs w:val="32"/>
          <w:highlight w:val="none"/>
        </w:rPr>
        <w:t>成本指标为食堂补助成本，预期指标值是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70万元，实际完成值是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60.8万元，指标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达到预期目标。原因：根据实际产生的费用进行支出，年初预算计划不够精准，指标存在偏差；措施：今后做好年初预算编制工作，提高预算执行率，减少偏差</w:t>
      </w:r>
      <w:r>
        <w:rPr>
          <w:rFonts w:hint="eastAsia" w:ascii="仿宋_GB2312"/>
          <w:color w:val="auto"/>
          <w:sz w:val="32"/>
          <w:szCs w:val="32"/>
          <w:highlight w:val="none"/>
          <w:lang w:eastAsia="zh-CN"/>
        </w:rPr>
        <w:t>。</w:t>
      </w:r>
    </w:p>
    <w:p>
      <w:pPr>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color w:val="auto"/>
          <w:sz w:val="32"/>
          <w:szCs w:val="32"/>
          <w:highlight w:val="none"/>
        </w:rPr>
        <w:t>成本指标为工作经费保障部门成本，预期指标值是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70万元，实际完成值是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120.79万元，指标</w:t>
      </w:r>
      <w:r>
        <w:rPr>
          <w:rFonts w:hint="eastAsia" w:ascii="仿宋_GB2312"/>
          <w:color w:val="auto"/>
          <w:sz w:val="32"/>
          <w:szCs w:val="32"/>
          <w:highlight w:val="none"/>
          <w:lang w:val="en-US" w:eastAsia="zh-CN"/>
        </w:rPr>
        <w:t>超出</w:t>
      </w:r>
      <w:r>
        <w:rPr>
          <w:rFonts w:hint="eastAsia" w:ascii="仿宋_GB2312"/>
          <w:color w:val="auto"/>
          <w:sz w:val="32"/>
          <w:szCs w:val="32"/>
          <w:highlight w:val="none"/>
        </w:rPr>
        <w:t>预期目标。原因：根据实际产生的费用进行支出，年初预算计划不够精准，指标存在偏差；措施：今后做好年初预算编制工作，提高预算执行率，减少偏差</w:t>
      </w:r>
      <w:r>
        <w:rPr>
          <w:rFonts w:hint="eastAsia" w:ascii="仿宋_GB2312"/>
          <w:color w:val="auto"/>
          <w:sz w:val="32"/>
          <w:szCs w:val="32"/>
          <w:highlight w:val="none"/>
          <w:lang w:eastAsia="zh-CN"/>
        </w:rPr>
        <w:t>。</w:t>
      </w:r>
    </w:p>
    <w:p>
      <w:pPr>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color w:val="auto"/>
          <w:sz w:val="32"/>
          <w:szCs w:val="32"/>
          <w:highlight w:val="none"/>
        </w:rPr>
        <w:t>成本指标为廉政文化、信息化设备采购成本，预期指标值是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130万元，实际完成值是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67.08万元，指标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达到预期目标。原因：根据实际产生的费用进行支出，年初预算计划不够精准，指标存在偏差；措施：今后做好年初预算编制工作，提高预算执行率，减少偏差</w:t>
      </w:r>
      <w:r>
        <w:rPr>
          <w:rFonts w:hint="eastAsia" w:ascii="仿宋_GB2312"/>
          <w:color w:val="auto"/>
          <w:sz w:val="32"/>
          <w:szCs w:val="32"/>
          <w:highlight w:val="none"/>
          <w:lang w:eastAsia="zh-CN"/>
        </w:rPr>
        <w:t>。</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指标为提升公共服务水平，预期指标值是有效提升，实际完成值是有效提升，指标达到预期目标。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1"/>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300</w:t>
      </w:r>
      <w:r>
        <w:rPr>
          <w:rFonts w:hint="eastAsia"/>
          <w:color w:val="auto"/>
          <w:sz w:val="32"/>
          <w:highlight w:val="none"/>
        </w:rPr>
        <w:t>万元，执行数</w:t>
      </w:r>
      <w:r>
        <w:rPr>
          <w:rFonts w:hint="eastAsia"/>
          <w:color w:val="auto"/>
          <w:sz w:val="32"/>
          <w:highlight w:val="none"/>
          <w:lang w:val="en-US" w:eastAsia="zh-CN"/>
        </w:rPr>
        <w:t>256.16</w:t>
      </w:r>
      <w:r>
        <w:rPr>
          <w:rFonts w:hint="eastAsia"/>
          <w:color w:val="auto"/>
          <w:sz w:val="32"/>
          <w:highlight w:val="none"/>
        </w:rPr>
        <w:t>万元，执行率</w:t>
      </w:r>
      <w:r>
        <w:rPr>
          <w:rFonts w:hint="eastAsia"/>
          <w:color w:val="auto"/>
          <w:sz w:val="32"/>
          <w:highlight w:val="none"/>
          <w:lang w:val="en-US" w:eastAsia="zh-CN"/>
        </w:rPr>
        <w:t>85.4</w:t>
      </w:r>
      <w:r>
        <w:rPr>
          <w:rFonts w:hint="eastAsia"/>
          <w:color w:val="auto"/>
          <w:sz w:val="32"/>
          <w:highlight w:val="none"/>
        </w:rPr>
        <w:t>%，绩效指标完成率</w:t>
      </w:r>
      <w:r>
        <w:rPr>
          <w:rFonts w:hint="eastAsia"/>
          <w:color w:val="auto"/>
          <w:sz w:val="32"/>
          <w:highlight w:val="none"/>
          <w:lang w:val="en-US" w:eastAsia="zh-CN"/>
        </w:rPr>
        <w:t>94.6</w:t>
      </w:r>
      <w:r>
        <w:rPr>
          <w:rFonts w:hint="eastAsia"/>
          <w:color w:val="auto"/>
          <w:sz w:val="32"/>
          <w:highlight w:val="none"/>
        </w:rPr>
        <w:t>%，偏差率</w:t>
      </w:r>
      <w:r>
        <w:rPr>
          <w:rFonts w:hint="eastAsia"/>
          <w:color w:val="auto"/>
          <w:sz w:val="32"/>
          <w:highlight w:val="none"/>
          <w:lang w:val="en-US" w:eastAsia="zh-CN"/>
        </w:rPr>
        <w:t>9.2</w:t>
      </w:r>
      <w:r>
        <w:rPr>
          <w:rFonts w:hint="eastAsia"/>
          <w:color w:val="auto"/>
          <w:sz w:val="32"/>
          <w:highlight w:val="none"/>
        </w:rPr>
        <w:t>%。偏差原因：第三方机构未及时提供支出资料，未能按时支出。</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4.27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7.92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6.54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92.43</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D431"/>
    <w:multiLevelType w:val="multilevel"/>
    <w:tmpl w:val="68CBD431"/>
    <w:lvl w:ilvl="0" w:tentative="0">
      <w:start w:val="1"/>
      <w:numFmt w:val="chineseCountingThousand"/>
      <w:pStyle w:val="3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D43C"/>
    <w:multiLevelType w:val="singleLevel"/>
    <w:tmpl w:val="68CBD43C"/>
    <w:lvl w:ilvl="0" w:tentative="0">
      <w:start w:val="3"/>
      <w:numFmt w:val="decimal"/>
      <w:suff w:val="nothing"/>
      <w:lvlText w:val="%1．"/>
      <w:lvlJc w:val="left"/>
      <w:rPr>
        <w:rFonts w:hint="default"/>
        <w:b/>
        <w:bCs/>
        <w:color w:val="auto"/>
      </w:rPr>
    </w:lvl>
  </w:abstractNum>
  <w:abstractNum w:abstractNumId="2">
    <w:nsid w:val="68CBD447"/>
    <w:multiLevelType w:val="singleLevel"/>
    <w:tmpl w:val="68CBD447"/>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7D2527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1">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F07F022981F94122884C2DF9A12CE89F_13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94c3f3-eac0-43d9-9a74-4a561283487e}">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2025-09-18T09:42:29Z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F07F022981F94122884C2DF9A12CE89F_13</vt:lpwstr>
  </property>
  <property fmtid="{D5CDD505-2E9C-101B-9397-08002B2CF9AE}" pid="4" name="KSOTemplateDocerSaveRecord">
    <vt:lpwstr>eyJoZGlkIjoiYzZkNzQ4ZWFiZmQ4NTRhOWRkZTk3YTMwMjlmMmZhYmUiLCJ1c2VySWQiOiI1NzgxMjU4NDIifQ_x003D__x003D_</vt:lpwstr>
  </property>
</Properties>
</file>