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中国人民政治协商会议阿图什市委员会2024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政治协商、民主监督、参政议政。参与阿图什市重大方针政策、国民经济发展和社会发展规划的协商，列席市</w:t>
      </w:r>
      <w:r>
        <w:rPr>
          <w:rFonts w:hint="eastAsia" w:ascii="仿宋_GB2312" w:hAnsi="仿宋_GB2312" w:eastAsia="仿宋_GB2312"/>
          <w:sz w:val="32"/>
          <w:lang w:eastAsia="zh-CN"/>
        </w:rPr>
        <w:t>人大</w:t>
      </w:r>
      <w:r>
        <w:rPr>
          <w:rFonts w:ascii="仿宋_GB2312" w:hAnsi="仿宋_GB2312" w:eastAsia="仿宋_GB2312"/>
          <w:sz w:val="32"/>
        </w:rPr>
        <w:t>，听取和讨论政府工作报告，围绕政治、经济、文化和社会建设，组织开展委员视察，发挥民主党派、人民团体</w:t>
      </w:r>
      <w:r>
        <w:rPr>
          <w:rFonts w:hint="eastAsia" w:ascii="仿宋_GB2312" w:hAnsi="仿宋_GB2312" w:eastAsia="仿宋_GB2312"/>
          <w:sz w:val="32"/>
          <w:lang w:eastAsia="zh-CN"/>
        </w:rPr>
        <w:t>和</w:t>
      </w:r>
      <w:r>
        <w:rPr>
          <w:rFonts w:ascii="仿宋_GB2312" w:hAnsi="仿宋_GB2312" w:eastAsia="仿宋_GB2312"/>
          <w:sz w:val="32"/>
        </w:rPr>
        <w:t>各界委员的作用，坦诚建言，汇聚力量，广泛收集民意，开展民主监督，以提案、建议案、调研报告的形式，向市委、市人民政府提出前瞻性、可行性意见和建议。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中国人民政治协商会议阿图什市委员会2024年度，实有人数43人，其中：在职人员17人，减少1人；离休人员0人，增加0人；退休人员26人,增加0人。</w:t>
      </w:r>
    </w:p>
    <w:p>
      <w:pPr>
        <w:spacing w:line="580" w:lineRule="exact"/>
        <w:ind w:firstLine="640"/>
        <w:jc w:val="both"/>
      </w:pPr>
      <w:r>
        <w:rPr>
          <w:rFonts w:ascii="仿宋_GB2312" w:hAnsi="仿宋_GB2312" w:eastAsia="仿宋_GB2312"/>
          <w:sz w:val="32"/>
        </w:rPr>
        <w:t>中国人民政治协商会议阿图什市委员会无下属预算单位，下设4个科室，分别是：办公室、提案委员会、文史学习和教科卫体委员会、法制委员会。</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2024年度收入总计448.69万元，</w:t>
      </w:r>
      <w:r>
        <w:rPr>
          <w:rFonts w:ascii="仿宋_GB2312" w:hAnsi="仿宋_GB2312" w:eastAsia="仿宋_GB2312"/>
          <w:b w:val="0"/>
          <w:sz w:val="32"/>
        </w:rPr>
        <w:t>其中：本年收入合计439.83万元，使用非财政拨款结余（含专用结余）0.00万元，年初结转和结余8.86万元。</w:t>
      </w:r>
    </w:p>
    <w:p>
      <w:pPr>
        <w:spacing w:line="580" w:lineRule="exact"/>
        <w:ind w:firstLine="640"/>
        <w:jc w:val="both"/>
      </w:pPr>
      <w:r>
        <w:rPr>
          <w:rFonts w:ascii="仿宋_GB2312" w:hAnsi="仿宋_GB2312" w:eastAsia="仿宋_GB2312"/>
          <w:b/>
          <w:sz w:val="32"/>
        </w:rPr>
        <w:t>2024年度支出总计448.69万元，</w:t>
      </w:r>
      <w:r>
        <w:rPr>
          <w:rFonts w:ascii="仿宋_GB2312" w:hAnsi="仿宋_GB2312" w:eastAsia="仿宋_GB2312"/>
          <w:b w:val="0"/>
          <w:sz w:val="32"/>
        </w:rPr>
        <w:t>其中：本年支出合计443.19万元，结余分配0.00万元，年末结转和结余5.50万元。</w:t>
      </w:r>
    </w:p>
    <w:p>
      <w:pPr>
        <w:spacing w:line="580" w:lineRule="exact"/>
        <w:ind w:firstLine="640"/>
        <w:jc w:val="both"/>
      </w:pPr>
      <w:r>
        <w:rPr>
          <w:rFonts w:ascii="仿宋_GB2312" w:hAnsi="仿宋_GB2312" w:eastAsia="仿宋_GB2312"/>
          <w:b w:val="0"/>
          <w:sz w:val="32"/>
        </w:rPr>
        <w:t>收入支出总体与上年相比，减少43.90万元，下降8.91%，主要原因是：本年在职人员减少，相关人员经费及办公经费较上年减少。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本年收入439.83万元，</w:t>
      </w:r>
      <w:r>
        <w:rPr>
          <w:rFonts w:ascii="仿宋_GB2312" w:hAnsi="仿宋_GB2312" w:eastAsia="仿宋_GB2312"/>
          <w:b w:val="0"/>
          <w:sz w:val="32"/>
        </w:rPr>
        <w:t>其中：财政拨款收入439.83万元，占100.00%；上级补助收入0.00万元，占0.00%；事业收入0.00万元，占0.00%；经营收入0.00万元，占0.00%；附属单位上缴收入0.00万元，占0.00%；其他收入0.00万元，占0.00%。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本年支出443.19万元，</w:t>
      </w:r>
      <w:r>
        <w:rPr>
          <w:rFonts w:ascii="仿宋_GB2312" w:hAnsi="仿宋_GB2312" w:eastAsia="仿宋_GB2312"/>
          <w:b w:val="0"/>
          <w:sz w:val="32"/>
        </w:rPr>
        <w:t>其中：基本支出383.04万元，占86.43%；项目支出60.15万元，占13.57%；上缴上级支出0.00万元，占0.00%；经营支出0.00万元，占0.00%；对附属单位补助支出0.00万元，占0.00%。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2024年度财政拨款收入总计439.83万元，</w:t>
      </w:r>
      <w:r>
        <w:rPr>
          <w:rFonts w:ascii="仿宋_GB2312" w:hAnsi="仿宋_GB2312" w:eastAsia="仿宋_GB2312"/>
          <w:b w:val="0"/>
          <w:sz w:val="32"/>
        </w:rPr>
        <w:t>其中：年初财政拨款结转和结余0.00万元，本年财政拨款收入439.83万元。</w:t>
      </w:r>
      <w:r>
        <w:rPr>
          <w:rFonts w:ascii="仿宋_GB2312" w:hAnsi="仿宋_GB2312" w:eastAsia="仿宋_GB2312"/>
          <w:b/>
          <w:sz w:val="32"/>
        </w:rPr>
        <w:t>财政拨款支出总计439.83万元，</w:t>
      </w:r>
      <w:r>
        <w:rPr>
          <w:rFonts w:ascii="仿宋_GB2312" w:hAnsi="仿宋_GB2312" w:eastAsia="仿宋_GB2312"/>
          <w:b w:val="0"/>
          <w:sz w:val="32"/>
        </w:rPr>
        <w:t>其中：年末财政拨款结转和结余0.00万元，本年财政拨款支出439.83万元。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减少52.76万元，下降10.71%，主要原因是：本年在职人员减少，相关人员经费及办公经费较上年减少。</w:t>
      </w:r>
      <w:r>
        <w:rPr>
          <w:rFonts w:ascii="仿宋_GB2312" w:hAnsi="仿宋_GB2312" w:eastAsia="仿宋_GB2312"/>
          <w:b/>
          <w:sz w:val="32"/>
        </w:rPr>
        <w:t>与年初预算相比，</w:t>
      </w:r>
      <w:r>
        <w:rPr>
          <w:rFonts w:ascii="仿宋_GB2312" w:hAnsi="仿宋_GB2312" w:eastAsia="仿宋_GB2312"/>
          <w:b w:val="0"/>
          <w:sz w:val="32"/>
        </w:rPr>
        <w:t>年初预算数426.56万元，决算数439.83万元，预决算差异率3.11%，主要原因是：年中追加人员工资、社保、公积金基数调增部分资金，导致预决算存在差异。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2024年度一般公共预算财政拨款支出439.83万元，</w:t>
      </w:r>
      <w:r>
        <w:rPr>
          <w:rFonts w:ascii="仿宋_GB2312" w:hAnsi="仿宋_GB2312" w:eastAsia="仿宋_GB2312"/>
          <w:b w:val="0"/>
          <w:sz w:val="32"/>
        </w:rPr>
        <w:t>占本年支出合计的99.24%。</w:t>
      </w:r>
      <w:r>
        <w:rPr>
          <w:rFonts w:ascii="仿宋_GB2312" w:hAnsi="仿宋_GB2312" w:eastAsia="仿宋_GB2312"/>
          <w:b/>
          <w:sz w:val="32"/>
        </w:rPr>
        <w:t>与上年相比，</w:t>
      </w:r>
      <w:r>
        <w:rPr>
          <w:rFonts w:ascii="仿宋_GB2312" w:hAnsi="仿宋_GB2312" w:eastAsia="仿宋_GB2312"/>
          <w:b w:val="0"/>
          <w:sz w:val="32"/>
        </w:rPr>
        <w:t>减少50.82万元，下降10.36%，主要原因是：本年在职人员减少，相关人员经费及办公经费较上年减少。</w:t>
      </w:r>
      <w:r>
        <w:rPr>
          <w:rFonts w:ascii="仿宋_GB2312" w:hAnsi="仿宋_GB2312" w:eastAsia="仿宋_GB2312"/>
          <w:b/>
          <w:sz w:val="32"/>
        </w:rPr>
        <w:t>与年初预算相比,</w:t>
      </w:r>
      <w:r>
        <w:rPr>
          <w:rFonts w:ascii="仿宋_GB2312" w:hAnsi="仿宋_GB2312" w:eastAsia="仿宋_GB2312"/>
          <w:b w:val="0"/>
          <w:sz w:val="32"/>
        </w:rPr>
        <w:t>年初预算数426.56万元，决算数439.83万元，预决算差异率3.11%，主要原因是：年中追加人员工资、社保、公积金基数调增部分资金，导致预决算存在差异。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1.一般公共服务支出(类)326.04万元,占74.13%。</w:t>
      </w:r>
    </w:p>
    <w:p>
      <w:pPr>
        <w:spacing w:line="580" w:lineRule="exact"/>
        <w:ind w:firstLine="640"/>
        <w:jc w:val="both"/>
      </w:pPr>
      <w:r>
        <w:rPr>
          <w:rFonts w:ascii="仿宋_GB2312" w:hAnsi="仿宋_GB2312" w:eastAsia="仿宋_GB2312"/>
          <w:b w:val="0"/>
          <w:sz w:val="32"/>
        </w:rPr>
        <w:t>2.社会保障和就业支出(类)74.11万元,占16.85%。</w:t>
      </w:r>
    </w:p>
    <w:p>
      <w:pPr>
        <w:spacing w:line="580" w:lineRule="exact"/>
        <w:ind w:firstLine="640"/>
        <w:jc w:val="both"/>
      </w:pPr>
      <w:r>
        <w:rPr>
          <w:rFonts w:ascii="仿宋_GB2312" w:hAnsi="仿宋_GB2312" w:eastAsia="仿宋_GB2312"/>
          <w:b w:val="0"/>
          <w:sz w:val="32"/>
        </w:rPr>
        <w:t>3.卫生健康支出(类)12.40万元,占2.82%。</w:t>
      </w:r>
    </w:p>
    <w:p>
      <w:pPr>
        <w:spacing w:line="580" w:lineRule="exact"/>
        <w:ind w:firstLine="640"/>
        <w:jc w:val="both"/>
      </w:pPr>
      <w:r>
        <w:rPr>
          <w:rFonts w:ascii="仿宋_GB2312" w:hAnsi="仿宋_GB2312" w:eastAsia="仿宋_GB2312"/>
          <w:b w:val="0"/>
          <w:sz w:val="32"/>
        </w:rPr>
        <w:t>4.住房保障支出(类)27.28万元,占6.20%。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1.一般公共服务支出(类)政协事务(款)行政运行(项):支出决算数为226.94万元，比上年决算减少47.91万元，下降17.43%,主要原因是：本年在职人员减少，相关人员经费减少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本年减少抚恤金支出</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2.一般公共服务支出(类)政协事务(款)政协会议(项):支出决算数为12.00万元，比上年决算增加0.72万元，增长6.38%,主要原因是：本年增加政协会议项目经费。</w:t>
      </w:r>
    </w:p>
    <w:p>
      <w:pPr>
        <w:spacing w:line="580" w:lineRule="exact"/>
        <w:ind w:firstLine="640"/>
        <w:jc w:val="both"/>
      </w:pPr>
      <w:r>
        <w:rPr>
          <w:rFonts w:ascii="仿宋_GB2312" w:hAnsi="仿宋_GB2312" w:eastAsia="仿宋_GB2312"/>
          <w:b w:val="0"/>
          <w:sz w:val="32"/>
        </w:rPr>
        <w:t>3.一般公共服务支出(类)政协事务(款)委员视察(项):支出决算数为9.00万元，比上年决算增加0.01万元，增长0.11%,主要原因是：本年增加委员视察经费。</w:t>
      </w:r>
    </w:p>
    <w:p>
      <w:pPr>
        <w:spacing w:line="580" w:lineRule="exact"/>
        <w:ind w:firstLine="640"/>
        <w:jc w:val="both"/>
      </w:pPr>
      <w:r>
        <w:rPr>
          <w:rFonts w:ascii="仿宋_GB2312" w:hAnsi="仿宋_GB2312" w:eastAsia="仿宋_GB2312"/>
          <w:b w:val="0"/>
          <w:sz w:val="32"/>
        </w:rPr>
        <w:t>4.一般公共服务支出(类)政协事务(款)事业运行(项):支出决算数为38.95万元，比上年决算增加10.41万元，增长36.48%,主要原因是：本年在职人员工资调增，导致相关人员经费较上年有所增加。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5.一般公共服务支出(类)政协事务(款)其他政协事务支出(项):支出决算数为36.91万元，比上年决算增加21.16万元，增长134.35%,主要原因是：本年会议、调研次数较多，相关</w:t>
      </w:r>
      <w:r>
        <w:rPr>
          <w:rFonts w:hint="eastAsia" w:ascii="仿宋_GB2312" w:hAnsi="仿宋_GB2312" w:eastAsia="仿宋_GB2312"/>
          <w:b w:val="0"/>
          <w:sz w:val="32"/>
          <w:lang w:val="en-US" w:eastAsia="zh-CN"/>
        </w:rPr>
        <w:t>经费支出</w:t>
      </w:r>
      <w:r>
        <w:rPr>
          <w:rFonts w:ascii="仿宋_GB2312" w:hAnsi="仿宋_GB2312" w:eastAsia="仿宋_GB2312"/>
          <w:b w:val="0"/>
          <w:sz w:val="32"/>
        </w:rPr>
        <w:t>增加。</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6.一般公共服务支出(类)组织事务(款)其他组织事务支出(项):支出决算数为2.25万元，比上年决算增加0.99万元，增长78.57%,主要原因是：本年</w:t>
      </w:r>
      <w:r>
        <w:rPr>
          <w:rFonts w:hint="eastAsia" w:ascii="仿宋_GB2312" w:hAnsi="仿宋_GB2312" w:eastAsia="仿宋_GB2312"/>
          <w:b w:val="0"/>
          <w:sz w:val="32"/>
        </w:rPr>
        <w:t>第一书记工作经费</w:t>
      </w:r>
      <w:r>
        <w:rPr>
          <w:rFonts w:ascii="仿宋_GB2312" w:hAnsi="仿宋_GB2312" w:eastAsia="仿宋_GB2312"/>
          <w:b w:val="0"/>
          <w:sz w:val="32"/>
        </w:rPr>
        <w:t>增加。</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7.社会保障和就业支出(类)行政事业单位养老支出(款)行政单位离退休(项):支出决算数为40.36万元，比上年决算增加7.58万元，增长23.12%,主要原因是：本年退休人员绩效增加，导致退休费较上年增加。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33.75万元，比上年决算增加1.16万元，增长3.56%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9.社会保障和就业支出(类)行政事业单位养老支出(款)机关事业单位职业年金缴费支出(项):支出决算数为0.00万元，比上年决算减少42.08万元，下降100.00%,主要原因是：本</w:t>
      </w:r>
      <w:r>
        <w:rPr>
          <w:rFonts w:hint="eastAsia" w:ascii="仿宋_GB2312" w:hAnsi="仿宋_GB2312" w:eastAsia="仿宋_GB2312"/>
          <w:b w:val="0"/>
          <w:sz w:val="32"/>
          <w:lang w:eastAsia="zh-CN"/>
        </w:rPr>
        <w:t>年</w:t>
      </w:r>
      <w:r>
        <w:rPr>
          <w:rFonts w:ascii="仿宋_GB2312" w:hAnsi="仿宋_GB2312" w:eastAsia="仿宋_GB2312"/>
          <w:b w:val="0"/>
          <w:sz w:val="32"/>
        </w:rPr>
        <w:t>调出人员较上年减少，职业年金缴费较上年减少。</w:t>
      </w:r>
    </w:p>
    <w:p>
      <w:pPr>
        <w:spacing w:line="580" w:lineRule="exact"/>
        <w:ind w:firstLine="640"/>
        <w:jc w:val="both"/>
      </w:pPr>
      <w:r>
        <w:rPr>
          <w:rFonts w:ascii="仿宋_GB2312" w:hAnsi="仿宋_GB2312" w:eastAsia="仿宋_GB2312"/>
          <w:b w:val="0"/>
          <w:sz w:val="32"/>
        </w:rPr>
        <w:t>10.社会保障和就业支出(类)抚恤(款)死亡抚恤(项):支出决算数为0.00万元，比上年决算减少1.42万元，下降100.00%,主要原因是：本年无新增</w:t>
      </w:r>
      <w:r>
        <w:rPr>
          <w:rFonts w:hint="eastAsia" w:ascii="仿宋_GB2312" w:hAnsi="仿宋_GB2312" w:eastAsia="仿宋_GB2312"/>
          <w:b w:val="0"/>
          <w:sz w:val="32"/>
          <w:lang w:eastAsia="zh-CN"/>
        </w:rPr>
        <w:t>去世</w:t>
      </w:r>
      <w:r>
        <w:rPr>
          <w:rFonts w:ascii="仿宋_GB2312" w:hAnsi="仿宋_GB2312" w:eastAsia="仿宋_GB2312"/>
          <w:b w:val="0"/>
          <w:sz w:val="32"/>
        </w:rPr>
        <w:t>人员，支出较上年减少。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10.87万元，比上年决算减少1.20万元，下降9.94%,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12.卫生健康支出(类)行政事业单位医疗(款)事业单位医疗(项):支出决算数为1.53万元，比上年决算增加0.43万元，增长39.09%,主要原因是：本年在职人员工资基数调增，医疗缴费基数上涨，相应支出增加。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13.住房保障支出(类)住房改革支出(款)住房公积金(项):支出决算数为27.28万元，比上年决算减少0.66万元，下降2.36%,主要原因是：本年在职人员减少，住房公积金缴费较上年减少。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2024年度一般公共预算财政拨款基本支出379.68万元，其中：</w:t>
      </w:r>
      <w:r>
        <w:rPr>
          <w:rFonts w:ascii="仿宋_GB2312" w:hAnsi="仿宋_GB2312" w:eastAsia="仿宋_GB2312"/>
          <w:b/>
          <w:sz w:val="32"/>
        </w:rPr>
        <w:t>人员经费375.89万元，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公用经费3.79万元，</w:t>
      </w:r>
      <w:r>
        <w:rPr>
          <w:rFonts w:ascii="仿宋_GB2312" w:hAnsi="仿宋_GB2312" w:eastAsia="仿宋_GB2312"/>
          <w:b w:val="0"/>
          <w:sz w:val="32"/>
        </w:rPr>
        <w:t>包括：办公费、邮电费、委托业务费、福利费、公务用车运行维护费。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2024年度财政拨款“三公”经费支出12.11万元，</w:t>
      </w:r>
      <w:r>
        <w:rPr>
          <w:rFonts w:ascii="仿宋_GB2312" w:hAnsi="仿宋_GB2312" w:eastAsia="仿宋_GB2312"/>
          <w:b w:val="0"/>
          <w:sz w:val="32"/>
        </w:rPr>
        <w:t>比上年增加1.79万元，增长17.34%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12.11万元，占100.00%，比上年增加1.79万元，增长17.34%，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12.11万元，其中：公务用车购置费0.00万元，公务用车运行维护费12.11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12.11万元，决算数12.11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12.11万元，决算数12.11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w:t>
      </w:r>
      <w:r>
        <w:rPr>
          <w:rFonts w:hint="eastAsia" w:ascii="仿宋_GB2312" w:hAnsi="仿宋_GB2312" w:eastAsia="仿宋_GB2312"/>
          <w:b w:val="0"/>
          <w:sz w:val="32"/>
          <w:lang w:eastAsia="zh-CN"/>
        </w:rPr>
        <w:t>人民政</w:t>
      </w:r>
      <w:r>
        <w:rPr>
          <w:rFonts w:ascii="仿宋_GB2312" w:hAnsi="仿宋_GB2312" w:eastAsia="仿宋_GB2312"/>
          <w:b w:val="0"/>
          <w:sz w:val="32"/>
        </w:rPr>
        <w:t>治协商会议阿图什市委员会（行政单位和参照公务员法管理事业单位）机关运行经费支出3.79万元，比上年减少38.74万元，下降91.09%，主要原因是：</w:t>
      </w:r>
      <w:r>
        <w:rPr>
          <w:rFonts w:hint="eastAsia" w:ascii="仿宋_GB2312" w:hAnsi="仿宋_GB2312" w:eastAsia="仿宋_GB2312"/>
          <w:b w:val="0"/>
          <w:sz w:val="32"/>
          <w:lang w:val="en-US" w:eastAsia="zh-CN"/>
        </w:rPr>
        <w:t>本年部分经费调整至项目列支，导致公用经费支出减少</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2024年度政府采购支出总额29.15万元，其中：政府采购货物支出13.56万元、政府采购工程支出0.00万元、政府采购服务支出15.59万元。</w:t>
      </w:r>
    </w:p>
    <w:p>
      <w:pPr>
        <w:spacing w:line="580" w:lineRule="exact"/>
        <w:ind w:firstLine="640"/>
        <w:jc w:val="both"/>
      </w:pPr>
      <w:r>
        <w:rPr>
          <w:rFonts w:ascii="仿宋_GB2312" w:hAnsi="仿宋_GB2312" w:eastAsia="仿宋_GB2312"/>
          <w:b w:val="0"/>
          <w:sz w:val="32"/>
        </w:rPr>
        <w:t>授予中小企业合同金额29.15万元，占政府采购支出总额的100.00%，其中：授予小微企业合同金额28.86万元，占政府采购支出总额的99.01%。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5辆，价值109.96万元，其中：副部（省）级及以上领导用车0辆、主要负责人用车1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448.69万元，实际执行总额443.19万元；预算绩效评价项目7个，全年预算数57.20万元，全年执行数57.20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422.52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单位基本职能：政治协商、民主监督、参政议政，围绕群众关心的热点、难点问题开展调研活动。 </w:t>
            </w:r>
            <w:r>
              <w:rPr>
                <w:rFonts w:ascii="宋体" w:hAnsi="宋体" w:eastAsia="宋体"/>
                <w:sz w:val="16"/>
              </w:rPr>
              <w:br w:type="textWrapping"/>
            </w:r>
            <w:r>
              <w:rPr>
                <w:rFonts w:ascii="宋体" w:hAnsi="宋体" w:eastAsia="宋体"/>
                <w:sz w:val="16"/>
              </w:rPr>
              <w:t xml:space="preserve">机构设置及人员配置：下设4个处室，编制数16人 ，实有人数44人，在职18人，退休26人。 </w:t>
            </w:r>
            <w:r>
              <w:rPr>
                <w:rFonts w:ascii="宋体" w:hAnsi="宋体" w:eastAsia="宋体"/>
                <w:sz w:val="16"/>
              </w:rPr>
              <w:br w:type="textWrapping"/>
            </w:r>
            <w:r>
              <w:rPr>
                <w:rFonts w:ascii="宋体" w:hAnsi="宋体" w:eastAsia="宋体"/>
                <w:sz w:val="16"/>
              </w:rPr>
              <w:t>中长期规划：全面</w:t>
            </w:r>
            <w:r>
              <w:rPr>
                <w:rFonts w:hint="eastAsia" w:ascii="宋体" w:hAnsi="宋体"/>
                <w:sz w:val="16"/>
                <w:lang w:eastAsia="zh-CN"/>
              </w:rPr>
              <w:t>学习贯彻党的二十大精神</w:t>
            </w:r>
            <w:r>
              <w:rPr>
                <w:rFonts w:ascii="宋体" w:hAnsi="宋体" w:eastAsia="宋体"/>
                <w:sz w:val="16"/>
              </w:rPr>
              <w:t xml:space="preserve">，聚焦完整准确全面贯彻新时代党的治疆方略履职尽责，抓好政协委员和机关干部“两支队伍”建设。 </w:t>
            </w:r>
            <w:r>
              <w:rPr>
                <w:rFonts w:ascii="宋体" w:hAnsi="宋体" w:eastAsia="宋体"/>
                <w:sz w:val="16"/>
              </w:rPr>
              <w:br w:type="textWrapping"/>
            </w:r>
            <w:r>
              <w:rPr>
                <w:rFonts w:ascii="宋体" w:hAnsi="宋体" w:eastAsia="宋体"/>
                <w:sz w:val="16"/>
              </w:rPr>
              <w:t xml:space="preserve">  保障单位在职18人，退休26人的工资及福利正常发放及部门正常运转</w:t>
            </w:r>
            <w:r>
              <w:rPr>
                <w:rFonts w:hint="eastAsia" w:ascii="宋体" w:hAnsi="宋体"/>
                <w:sz w:val="16"/>
                <w:lang w:eastAsia="zh-CN"/>
              </w:rPr>
              <w:t>；</w:t>
            </w:r>
            <w:r>
              <w:rPr>
                <w:rFonts w:ascii="宋体" w:hAnsi="宋体" w:eastAsia="宋体"/>
                <w:sz w:val="16"/>
              </w:rPr>
              <w:t>保障3辆公务车的正常运行，提高工作效率；确保6个预算项目顺利实施，并全年举办党内活动及“</w:t>
            </w:r>
            <w:r>
              <w:rPr>
                <w:rFonts w:hint="eastAsia" w:ascii="宋体" w:hAnsi="宋体"/>
                <w:sz w:val="16"/>
                <w:lang w:val="en-US" w:eastAsia="zh-CN"/>
              </w:rPr>
              <w:t>联谊</w:t>
            </w:r>
            <w:r>
              <w:rPr>
                <w:rFonts w:ascii="宋体" w:hAnsi="宋体" w:eastAsia="宋体"/>
                <w:sz w:val="16"/>
              </w:rPr>
              <w:t>”活动，开展下乡慰问工作。确保县级领导日常工作正常开展，无障碍，顺利完成工作任务，实现工作目标，更好地服务于人民群众；为保障大会顺利举行，积极宣传和执行国家的宪法、法律、法规和各项方针、政策，更好地服务人民群众，满足人民美好生活需要和社会全面进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443.19万元，用于保障部门在职18人，退休26人的工资福利、各项补助正常发放及部门单位正常运转，单位预算项目根据年初计划均已完成，确保县级领导日常工作正常开展，无障碍，顺利完成工作任务，实现工作目标，</w:t>
            </w:r>
            <w:r>
              <w:rPr>
                <w:rFonts w:hint="eastAsia" w:ascii="宋体" w:hAnsi="宋体"/>
                <w:sz w:val="16"/>
                <w:lang w:eastAsia="zh-CN"/>
              </w:rPr>
              <w:t>更好地</w:t>
            </w:r>
            <w:r>
              <w:rPr>
                <w:rFonts w:ascii="宋体" w:hAnsi="宋体" w:eastAsia="宋体"/>
                <w:sz w:val="16"/>
              </w:rPr>
              <w:t>服务于人民群众；为保障大会顺利举行，积极宣传和执行国家的宪法、法律、法规和各项方针、政策，更好地服务人民群众，满足人民美好生活需要和社会全面进步，年度任务中完成召开常委会会议次数3次，召开季度专题协商会次数2次，</w:t>
            </w:r>
            <w:bookmarkStart w:id="0" w:name="_GoBack"/>
            <w:r>
              <w:rPr>
                <w:rFonts w:ascii="宋体" w:hAnsi="宋体" w:eastAsia="宋体"/>
                <w:sz w:val="16"/>
              </w:rPr>
              <w:t>召开季度协商座谈会次数4次，</w:t>
            </w:r>
            <w:bookmarkEnd w:id="0"/>
            <w:r>
              <w:rPr>
                <w:rFonts w:ascii="宋体" w:hAnsi="宋体" w:eastAsia="宋体"/>
                <w:sz w:val="16"/>
              </w:rPr>
              <w:t>开展惠民政策宣讲活动场次27次等目标。</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召开常委会会议次数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召开季度专题协商会次数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召开季度协商座谈会次数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开展惠民政策宣讲活动场次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推动市政协工作提质增效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2024年度自治区基层政协补助经费项目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根据《关于提前下达2023年度基层政协补助经费的通知》（克财行</w:t>
            </w:r>
            <w:r>
              <w:rPr>
                <w:rFonts w:hint="eastAsia" w:ascii="宋体" w:hAnsi="宋体"/>
                <w:sz w:val="16"/>
                <w:lang w:eastAsia="zh-CN"/>
              </w:rPr>
              <w:t>〔2022〕40号</w:t>
            </w:r>
            <w:r>
              <w:rPr>
                <w:rFonts w:ascii="宋体" w:hAnsi="宋体" w:eastAsia="宋体"/>
                <w:sz w:val="16"/>
              </w:rPr>
              <w:t>），下达资金5万元，为了更好发挥专门协商机构作用，组织政协委员开展调研视察、参政议政活动，补充基层政协机关经费不足，加强基层政协工作。弥补基层组织横向、特别是县市政协机关的经费缺口，激励基层政协担当作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关于提前下达2023年度基层政协补助经费的通知》（克财行〔2022〕40号），下达资金5万元，本项目共计支出5万元，用于基层政协数量1个；通过实施本项目更好发挥专门协商机构作用，组织政协委员开展调研视察、参政议政活动，补充基层政协机关经费不足，加强基层政协工作，弥补基层组织横向、特别是县市政协机关的经费缺口，激励基层政协担当作为。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基层政协数量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基层政协达到补助合规率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补充基层政协经办覆盖率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保障基层工作正常进行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基层政协满意度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乡镇（街道）政协委员工作站运转经费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根据《自治州贯彻落实</w:t>
            </w:r>
            <w:r>
              <w:rPr>
                <w:rFonts w:hint="eastAsia" w:ascii="宋体" w:hAnsi="宋体"/>
                <w:sz w:val="16"/>
                <w:lang w:eastAsia="zh-CN"/>
              </w:rPr>
              <w:t>〈</w:t>
            </w:r>
            <w:r>
              <w:rPr>
                <w:rFonts w:ascii="宋体" w:hAnsi="宋体" w:eastAsia="宋体"/>
                <w:sz w:val="16"/>
              </w:rPr>
              <w:t>自治区关于加强基层治理体系和治理能力现代化建设的工作方案&gt;的实施方案》的通知（克党办发</w:t>
            </w:r>
            <w:r>
              <w:rPr>
                <w:rFonts w:hint="eastAsia" w:ascii="宋体" w:hAnsi="宋体"/>
                <w:sz w:val="16"/>
                <w:lang w:eastAsia="zh-CN"/>
              </w:rPr>
              <w:t>〔</w:t>
            </w:r>
            <w:r>
              <w:rPr>
                <w:rFonts w:ascii="宋体" w:hAnsi="宋体" w:eastAsia="宋体"/>
                <w:sz w:val="16"/>
              </w:rPr>
              <w:t>2022</w:t>
            </w:r>
            <w:r>
              <w:rPr>
                <w:rFonts w:hint="eastAsia" w:ascii="宋体" w:hAnsi="宋体"/>
                <w:sz w:val="16"/>
                <w:lang w:eastAsia="zh-CN"/>
              </w:rPr>
              <w:t>〕</w:t>
            </w:r>
            <w:r>
              <w:rPr>
                <w:rFonts w:ascii="宋体" w:hAnsi="宋体" w:eastAsia="宋体"/>
                <w:sz w:val="16"/>
              </w:rPr>
              <w:t>1号）精神等，项目资金用于10个委员工作站运行，激发委员履职热情，提升委员履职实效，推进政协协商民主不断向基层延伸的工作效果。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本项目共计支出10万元，用于委员工作站数量10个；通过实施本项目激发委员履职热情，提升委员履职实效，推进政协协商民主不断向基层延伸的工作效果。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委员工作站数量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工作站经费标准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推进政协协商民主不断向基层延伸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各委员会满意度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县级领导地方配套设备项目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州党委政协工作会议精神及根据《阿图什市政协会议纪要》，结合实际开展本项目，项目总投资8万元，用于保障4辆公务用车正常运转，共计支出1万元；5.7万元用于全年慰问5次；0.7万元用于采购4批办公用品；0.6万元用于采购1套办公桌椅，通过实施，确保县级领导日常工作正常开展，无障碍，顺利完成工作任务，实现工作目标，更好地服务于人民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8万元，用于保障公务用车数量4辆，全年慰问次数5次，采购办公用品数量4批，采购办公桌椅1套；通过实施本项目确保县级领导日常工作正常开展，无障碍，顺利完成工作任务，实现工作目标，更好地服务于人民群众。 </w:t>
            </w:r>
            <w:r>
              <w:rPr>
                <w:rFonts w:ascii="宋体" w:hAnsi="宋体" w:eastAsia="宋体"/>
                <w:sz w:val="16"/>
              </w:rPr>
              <w:br w:type="textWrapping"/>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全年慰问次数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采购办公桌椅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全年慰问成本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采购办公桌椅成本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保障县级领导日常工作正常开展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380" w:type="dxa"/>
        <w:tblInd w:w="0" w:type="dxa"/>
        <w:tblLayout w:type="fixed"/>
        <w:tblCellMar>
          <w:top w:w="0" w:type="dxa"/>
          <w:left w:w="108" w:type="dxa"/>
          <w:bottom w:w="0" w:type="dxa"/>
          <w:right w:w="108" w:type="dxa"/>
        </w:tblCellMar>
      </w:tblPr>
      <w:tblGrid>
        <w:gridCol w:w="665"/>
        <w:gridCol w:w="665"/>
        <w:gridCol w:w="665"/>
        <w:gridCol w:w="665"/>
        <w:gridCol w:w="124"/>
        <w:gridCol w:w="608"/>
        <w:gridCol w:w="665"/>
        <w:gridCol w:w="665"/>
        <w:gridCol w:w="666"/>
        <w:gridCol w:w="665"/>
        <w:gridCol w:w="665"/>
        <w:gridCol w:w="665"/>
        <w:gridCol w:w="665"/>
        <w:gridCol w:w="241"/>
        <w:gridCol w:w="424"/>
        <w:gridCol w:w="667"/>
      </w:tblGrid>
      <w:tr>
        <w:tblPrEx>
          <w:tblCellMar>
            <w:top w:w="0" w:type="dxa"/>
            <w:left w:w="108" w:type="dxa"/>
            <w:bottom w:w="0" w:type="dxa"/>
            <w:right w:w="108" w:type="dxa"/>
          </w:tblCellMar>
        </w:tblPrEx>
        <w:tc>
          <w:tcPr>
            <w:tcW w:w="9380" w:type="dxa"/>
            <w:gridSpan w:val="16"/>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380" w:type="dxa"/>
            <w:gridSpan w:val="16"/>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715"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委员视察项目</w:t>
            </w:r>
          </w:p>
        </w:tc>
      </w:tr>
      <w:tr>
        <w:tblPrEx>
          <w:tblCellMar>
            <w:top w:w="0" w:type="dxa"/>
            <w:left w:w="108" w:type="dxa"/>
            <w:bottom w:w="0" w:type="dxa"/>
            <w:right w:w="108" w:type="dxa"/>
          </w:tblCellMar>
        </w:tblPrEx>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2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CellMar>
            <w:top w:w="0" w:type="dxa"/>
            <w:left w:w="108" w:type="dxa"/>
            <w:bottom w:w="0" w:type="dxa"/>
            <w:right w:w="108" w:type="dxa"/>
          </w:tblCellMar>
        </w:tblPrEx>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3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72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2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资金9万元用于开展委员视察工作6次、委员培训1天、委员培训人数120人、民主监督调研1次，完成监督调研报告1份，达到全覆盖的委员培训效果。委员视察以及相关培训费用，进一步明确开展工作的思路方法，推动新时代人民政协各项工作落实落细落地，使政协更好地成为团结教育引导各界代表人士的重要平台的工作效果 。</w:t>
            </w:r>
          </w:p>
        </w:tc>
        <w:tc>
          <w:tcPr>
            <w:tcW w:w="39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万元，用于开展委员视察工作6次、委员培训1天、委员培训人数120人、民主监督调研1次，完成监督调研报告1份；通过实施本项目进一步明确开展工作的思路方法，推动新时代人民政协各项工作落实落细落地，使政协更好地成为团结教育引导各界代表人士的重要平台的工作效果 。</w:t>
            </w:r>
          </w:p>
        </w:tc>
      </w:tr>
      <w:tr>
        <w:tblPrEx>
          <w:tblCellMar>
            <w:top w:w="0" w:type="dxa"/>
            <w:left w:w="108" w:type="dxa"/>
            <w:bottom w:w="0" w:type="dxa"/>
            <w:right w:w="108" w:type="dxa"/>
          </w:tblCellMar>
        </w:tblPrEx>
        <w:tc>
          <w:tcPr>
            <w:tcW w:w="665" w:type="dxa"/>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3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委员视察工作次数</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3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委员培训天数</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3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委员培训人数</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&gt;=120人</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=120人</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3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民主监督调研次数</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完成监督调研报告数量</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&gt;=1份</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委员视察工作成本</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&lt;=1.30万元</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=1.3万元</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委员培训费用成本</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&lt;=7.20万元</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=7.2万元</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民主监督调研成本</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提高参政议政的实效</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72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9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州领导班子思想建设工作会议精神和市委八届八次全会精神，该项目资金用于办公室日常和3个专委会日常开支：购置办公用品数量5批，购买办公电脑扫描仪3台，采购订报纸1批，购买办公文化墙2批，采购慰问活动用品5批，达到确保市政协工作有质量完成效果，保障各项工作正常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购置办公用品数量5批，购买办公电脑扫描仪、彩色打印机数量3台，订报纸2批，采购慰问活动用品5批，采购办公室文化墙用品1批；通过实施本项目确保市政协工作有质量完成效果，保障各项工作正常进行。</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购买办公电脑扫描仪、彩色打印机数量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订报纸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采购慰问活动用品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采购办公室文化用品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购买办公电脑扫描仪、彩色打印机成本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采购慰问活动用品成本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订报纸成本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采购办公室文化墙用品成本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保障政协各项工作正常进行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政协会议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12万元用于举办会议开展举办会议次数5次、参加会议人数500人，发放补贴人数60人、编印大会工作手册数量500册，编印大会宣传材料数量5次，公务保障用车数量4辆，购买广告宣传用品20次，购买会议办公用品20次等，确保市政协全体会议、常委会会议以及专题协商会、季度协商座谈会等会议顺利召开。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开展举办会议次数5次，发放补贴人数30人，编印大会工作手册数量500册，编印大会宣传材料数量5次，购买广告宣传用品20次；通过实施本项目，确保市政协全体会议、常委会会议以及专题协商会、季度协商座谈会等会议顺利召开。</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开展举办会议次数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发放补贴人数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原因：根据实际情况发放补贴，因此指标存在偏差；措施：今后做好项目计划，减少偏差。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编印大会工作手册数量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编印大会宣传材料数量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购买广告宣传用品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开展举办会议成本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原因：根据实际情况发放补贴，因此指标存在偏差；措施：今后做好项目计划，减少偏差。</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编印大会工作手册成本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编印大会宣传材料成本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购买广告宣传用品成本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法律法规政策知晓率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享受补贴人员满意度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视频会议系统服务费项目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印发《全区政协远程视频会议技术保障指南（试行）》的通知，本项目总投资1.2万元，用于完善提高并合理利用远程视频会议系统，积极开展网络议政、远程协商，切实发挥远程视频会议系统在政协履职中的提质增效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本项目共计支出1.2万元，用于视频会议系统1套；通过实施本项目完善提高并合理利用远程视频会议系统，积极开展网络议政、远程协商，切实发挥远程视频会议系统在政协履职中的提质增效作用。</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视频会议系统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系统维护维修及时率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反映项目实施的社会效益情况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AD35F24"/>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1D4B7E"/>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F26B9E"/>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5108</Words>
  <Characters>5841</Characters>
  <Lines>0</Lines>
  <Paragraphs>0</Paragraphs>
  <TotalTime>15</TotalTime>
  <ScaleCrop>false</ScaleCrop>
  <LinksUpToDate>false</LinksUpToDate>
  <CharactersWithSpaces>5849</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2026-01-07T11:55:25Z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