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阿图什市松他克镇中心幼儿园2024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D296F3E">
      <w:r>
        <w:br w:type="page"/>
      </w:r>
    </w:p>
    <w:p w14:paraId="6C84D3CB">
      <w:pPr>
        <w:spacing w:line="640" w:lineRule="exact"/>
        <w:jc w:val="center"/>
        <w:outlineLvl w:val="1"/>
      </w:pPr>
      <w:r>
        <w:rPr>
          <w:rFonts w:ascii="黑体" w:hAnsi="黑体" w:eastAsia="黑体"/>
          <w:sz w:val="32"/>
        </w:rPr>
        <w:t>第一部分 单位概况</w:t>
      </w:r>
    </w:p>
    <w:p w14:paraId="00460A2E">
      <w:pPr>
        <w:spacing w:line="640" w:lineRule="exact"/>
        <w:ind w:firstLine="640"/>
        <w:jc w:val="both"/>
        <w:outlineLvl w:val="2"/>
      </w:pPr>
      <w:r>
        <w:rPr>
          <w:rFonts w:ascii="黑体" w:hAnsi="黑体" w:eastAsia="黑体"/>
          <w:sz w:val="32"/>
        </w:rPr>
        <w:t>一、主要职能</w:t>
      </w:r>
    </w:p>
    <w:p w14:paraId="605C9A02">
      <w:pPr>
        <w:spacing w:line="580" w:lineRule="exact"/>
        <w:ind w:firstLine="640"/>
        <w:jc w:val="both"/>
      </w:pPr>
      <w:r>
        <w:rPr>
          <w:rFonts w:ascii="仿宋_GB2312" w:hAnsi="仿宋_GB2312" w:eastAsia="仿宋_GB2312"/>
          <w:sz w:val="32"/>
        </w:rPr>
        <w:t>正确贯彻执行党和国家的教育方针、政策、法规；维护学校的教学秩序，为学生创造良好的学习环境；积极稳妥</w:t>
      </w:r>
      <w:r>
        <w:rPr>
          <w:rFonts w:hint="eastAsia" w:ascii="仿宋_GB2312" w:hAnsi="仿宋_GB2312" w:eastAsia="仿宋_GB2312"/>
          <w:sz w:val="32"/>
          <w:lang w:eastAsia="zh-CN"/>
        </w:rPr>
        <w:t>地</w:t>
      </w:r>
      <w:r>
        <w:rPr>
          <w:rFonts w:ascii="仿宋_GB2312" w:hAnsi="仿宋_GB2312" w:eastAsia="仿宋_GB2312"/>
          <w:sz w:val="32"/>
        </w:rPr>
        <w:t>推进教育改革，按教育规律办事，不断提高教育质量；根据学校规模，设置学校管理机构，建立健全各项规章制度和岗位责任制；坚持教书育人，服务育人，环境育人方针，加强对学生思想品德教育，使学生的德智体全面发展；抓好教师队伍建设，使每个教师都热心于教育事业；做好安全防范，保证学生的人身安全。</w:t>
      </w:r>
    </w:p>
    <w:p w14:paraId="4996138A">
      <w:pPr>
        <w:spacing w:line="640" w:lineRule="exact"/>
        <w:ind w:firstLine="640"/>
        <w:jc w:val="both"/>
        <w:outlineLvl w:val="2"/>
      </w:pPr>
      <w:r>
        <w:rPr>
          <w:rFonts w:ascii="黑体" w:hAnsi="黑体" w:eastAsia="黑体"/>
          <w:sz w:val="32"/>
        </w:rPr>
        <w:t>二、机构设置及人员情况</w:t>
      </w:r>
    </w:p>
    <w:p w14:paraId="7AEF84D5">
      <w:pPr>
        <w:spacing w:line="580" w:lineRule="exact"/>
        <w:ind w:firstLine="640"/>
        <w:jc w:val="both"/>
      </w:pPr>
      <w:r>
        <w:rPr>
          <w:rFonts w:ascii="仿宋_GB2312" w:hAnsi="仿宋_GB2312" w:eastAsia="仿宋_GB2312"/>
          <w:sz w:val="32"/>
        </w:rPr>
        <w:t>阿图什市松他克镇中心幼儿园2024年度，实有人数144人，其中：在职人员144人，增加5人；离休人员0人，增加0人；退休人员0人,增加0人。</w:t>
      </w:r>
    </w:p>
    <w:p w14:paraId="11B02064">
      <w:pPr>
        <w:spacing w:line="580" w:lineRule="exact"/>
        <w:ind w:firstLine="640"/>
        <w:jc w:val="both"/>
      </w:pPr>
      <w:r>
        <w:rPr>
          <w:rFonts w:ascii="仿宋_GB2312" w:hAnsi="仿宋_GB2312" w:eastAsia="仿宋_GB2312"/>
          <w:sz w:val="32"/>
        </w:rPr>
        <w:t>阿图什市松他克镇中心幼儿园无下属预算单位，下设4个科室，分别是：办公室、党建室、财务室、综合办公室。</w:t>
      </w:r>
    </w:p>
    <w:p w14:paraId="18C6C7D1">
      <w:r>
        <w:br w:type="page"/>
      </w:r>
    </w:p>
    <w:p w14:paraId="06DF740F">
      <w:pPr>
        <w:spacing w:line="240" w:lineRule="auto"/>
        <w:jc w:val="center"/>
        <w:outlineLvl w:val="1"/>
      </w:pPr>
      <w:r>
        <w:rPr>
          <w:rFonts w:ascii="黑体" w:hAnsi="黑体" w:eastAsia="黑体"/>
          <w:sz w:val="32"/>
        </w:rPr>
        <w:t>第二部分 部门决算情况说明</w:t>
      </w:r>
    </w:p>
    <w:p w14:paraId="0389F65D">
      <w:pPr>
        <w:spacing w:line="640" w:lineRule="exact"/>
        <w:ind w:firstLine="640"/>
        <w:jc w:val="both"/>
        <w:outlineLvl w:val="2"/>
      </w:pPr>
      <w:r>
        <w:rPr>
          <w:rFonts w:ascii="黑体" w:hAnsi="黑体" w:eastAsia="黑体"/>
          <w:sz w:val="32"/>
        </w:rPr>
        <w:t>一、收入支出决算总体情况说明</w:t>
      </w:r>
    </w:p>
    <w:p w14:paraId="0B0FA5C7">
      <w:pPr>
        <w:spacing w:line="580" w:lineRule="exact"/>
        <w:ind w:firstLine="640"/>
        <w:jc w:val="both"/>
      </w:pPr>
      <w:r>
        <w:rPr>
          <w:rFonts w:ascii="仿宋_GB2312" w:hAnsi="仿宋_GB2312" w:eastAsia="仿宋_GB2312"/>
          <w:b/>
          <w:sz w:val="32"/>
        </w:rPr>
        <w:t>2024年度收入总计2,443.61万元，</w:t>
      </w:r>
      <w:r>
        <w:rPr>
          <w:rFonts w:ascii="仿宋_GB2312" w:hAnsi="仿宋_GB2312" w:eastAsia="仿宋_GB2312"/>
          <w:b w:val="0"/>
          <w:sz w:val="32"/>
        </w:rPr>
        <w:t>其中：本年收入合计2,442.48万元，使用非财政拨款结余（含专用结余）0.00万元，年初结转和结余1.12万元。</w:t>
      </w:r>
    </w:p>
    <w:p w14:paraId="71138A8A">
      <w:pPr>
        <w:spacing w:line="580" w:lineRule="exact"/>
        <w:ind w:firstLine="640"/>
        <w:jc w:val="both"/>
      </w:pPr>
      <w:r>
        <w:rPr>
          <w:rFonts w:ascii="仿宋_GB2312" w:hAnsi="仿宋_GB2312" w:eastAsia="仿宋_GB2312"/>
          <w:b/>
          <w:sz w:val="32"/>
        </w:rPr>
        <w:t>2024年度支出总计2,443.61万元，</w:t>
      </w:r>
      <w:r>
        <w:rPr>
          <w:rFonts w:ascii="仿宋_GB2312" w:hAnsi="仿宋_GB2312" w:eastAsia="仿宋_GB2312"/>
          <w:b w:val="0"/>
          <w:sz w:val="32"/>
        </w:rPr>
        <w:t>其中：本年支出合计2,442.81万元，结余分配0.00万元，年末结转和结余0.79万元。</w:t>
      </w:r>
    </w:p>
    <w:p w14:paraId="3E6B6698">
      <w:pPr>
        <w:spacing w:line="580" w:lineRule="exact"/>
        <w:ind w:firstLine="640"/>
        <w:jc w:val="both"/>
      </w:pPr>
      <w:r>
        <w:rPr>
          <w:rFonts w:ascii="仿宋_GB2312" w:hAnsi="仿宋_GB2312" w:eastAsia="仿宋_GB2312"/>
          <w:b w:val="0"/>
          <w:sz w:val="32"/>
        </w:rPr>
        <w:t>收入支出总体与上年相比，增加94.19万元，增长4.01%，主要原因是：本年在职人员增加，在职人员工资调增、社保、公积金基数调增，人员经费增加。本年增加幼儿足球建设试点项目资金、学校运转经费。</w:t>
      </w:r>
    </w:p>
    <w:p w14:paraId="708E9A2F">
      <w:pPr>
        <w:spacing w:line="640" w:lineRule="exact"/>
        <w:ind w:firstLine="640"/>
        <w:jc w:val="both"/>
        <w:outlineLvl w:val="2"/>
      </w:pPr>
      <w:r>
        <w:rPr>
          <w:rFonts w:ascii="黑体" w:hAnsi="黑体" w:eastAsia="黑体"/>
          <w:sz w:val="32"/>
        </w:rPr>
        <w:t>二、收入决算情况说明</w:t>
      </w:r>
    </w:p>
    <w:p w14:paraId="7E69D78E">
      <w:pPr>
        <w:spacing w:line="580" w:lineRule="exact"/>
        <w:ind w:firstLine="640"/>
        <w:jc w:val="both"/>
      </w:pPr>
      <w:r>
        <w:rPr>
          <w:rFonts w:ascii="仿宋_GB2312" w:hAnsi="仿宋_GB2312" w:eastAsia="仿宋_GB2312"/>
          <w:b/>
          <w:sz w:val="32"/>
        </w:rPr>
        <w:t>本年收入2,442.48万元，</w:t>
      </w:r>
      <w:r>
        <w:rPr>
          <w:rFonts w:ascii="仿宋_GB2312" w:hAnsi="仿宋_GB2312" w:eastAsia="仿宋_GB2312"/>
          <w:b w:val="0"/>
          <w:sz w:val="32"/>
        </w:rPr>
        <w:t>其中：财政拨款收入2,432.20万元，占99.58%；上级补助收入0.00万元，占0.00%；事业收入0.00万元，占0.00%；经营收入0.00万元，占0.00%；附属单位上缴收入0.00万元，占0.00%；其他收入10.28万元，占0.42%。</w:t>
      </w:r>
    </w:p>
    <w:p w14:paraId="1A748D80">
      <w:pPr>
        <w:spacing w:line="640" w:lineRule="exact"/>
        <w:ind w:firstLine="640"/>
        <w:jc w:val="both"/>
        <w:outlineLvl w:val="2"/>
      </w:pPr>
      <w:r>
        <w:rPr>
          <w:rFonts w:ascii="黑体" w:hAnsi="黑体" w:eastAsia="黑体"/>
          <w:sz w:val="32"/>
        </w:rPr>
        <w:t>三、支出决算情况说明</w:t>
      </w:r>
    </w:p>
    <w:p w14:paraId="67D9C677">
      <w:pPr>
        <w:spacing w:line="580" w:lineRule="exact"/>
        <w:ind w:firstLine="640"/>
        <w:jc w:val="both"/>
      </w:pPr>
      <w:r>
        <w:rPr>
          <w:rFonts w:ascii="仿宋_GB2312" w:hAnsi="仿宋_GB2312" w:eastAsia="仿宋_GB2312"/>
          <w:b/>
          <w:sz w:val="32"/>
        </w:rPr>
        <w:t>本年支出2,442.81万元，</w:t>
      </w:r>
      <w:r>
        <w:rPr>
          <w:rFonts w:ascii="仿宋_GB2312" w:hAnsi="仿宋_GB2312" w:eastAsia="仿宋_GB2312"/>
          <w:b w:val="0"/>
          <w:sz w:val="32"/>
        </w:rPr>
        <w:t>其中：基本支出2,114.46万元，占86.56%；项目支出328.35万元，占13.44%；上缴上级支出0.00万元，占0.00%；经营支出0.00万元，占0.00%；对附属单位补助支出0.00万元，占0.00%。</w:t>
      </w:r>
    </w:p>
    <w:p w14:paraId="2EA97626">
      <w:pPr>
        <w:spacing w:line="640" w:lineRule="exact"/>
        <w:ind w:firstLine="640"/>
        <w:jc w:val="both"/>
        <w:outlineLvl w:val="2"/>
      </w:pPr>
      <w:r>
        <w:rPr>
          <w:rFonts w:ascii="黑体" w:hAnsi="黑体" w:eastAsia="黑体"/>
          <w:sz w:val="32"/>
        </w:rPr>
        <w:t>四、财政拨款收入支出决算总体情况说明</w:t>
      </w:r>
    </w:p>
    <w:p w14:paraId="3725B73C">
      <w:pPr>
        <w:spacing w:line="580" w:lineRule="exact"/>
        <w:ind w:firstLine="640"/>
        <w:jc w:val="both"/>
      </w:pPr>
      <w:r>
        <w:rPr>
          <w:rFonts w:ascii="仿宋_GB2312" w:hAnsi="仿宋_GB2312" w:eastAsia="仿宋_GB2312"/>
          <w:b/>
          <w:sz w:val="32"/>
        </w:rPr>
        <w:t>2024年度财政拨款收入总计2,432.20万元，</w:t>
      </w:r>
      <w:r>
        <w:rPr>
          <w:rFonts w:ascii="仿宋_GB2312" w:hAnsi="仿宋_GB2312" w:eastAsia="仿宋_GB2312"/>
          <w:b w:val="0"/>
          <w:sz w:val="32"/>
        </w:rPr>
        <w:t>其中：年初财政拨款结转和结余0.00万元，本年财政拨款收入2,432.20万元。</w:t>
      </w:r>
      <w:r>
        <w:rPr>
          <w:rFonts w:ascii="仿宋_GB2312" w:hAnsi="仿宋_GB2312" w:eastAsia="仿宋_GB2312"/>
          <w:b/>
          <w:sz w:val="32"/>
        </w:rPr>
        <w:t>财政拨款支出总计2,432.20万元，</w:t>
      </w:r>
      <w:r>
        <w:rPr>
          <w:rFonts w:ascii="仿宋_GB2312" w:hAnsi="仿宋_GB2312" w:eastAsia="仿宋_GB2312"/>
          <w:b w:val="0"/>
          <w:sz w:val="32"/>
        </w:rPr>
        <w:t>其中：年末财政拨款结转和结余0.00万元，本年财政拨款支出2,432.20万元。</w:t>
      </w:r>
    </w:p>
    <w:p w14:paraId="2F4EDA42">
      <w:pPr>
        <w:keepNext w:val="0"/>
        <w:keepLines w:val="0"/>
        <w:widowControl/>
        <w:suppressLineNumbers w:val="0"/>
        <w:jc w:val="left"/>
        <w:rPr>
          <w:rFonts w:hint="default" w:eastAsia="仿宋_GB2312"/>
          <w:lang w:val="en-US" w:eastAsia="zh-CN"/>
        </w:rPr>
      </w:pPr>
      <w:r>
        <w:rPr>
          <w:rFonts w:ascii="仿宋_GB2312" w:hAnsi="仿宋_GB2312" w:eastAsia="仿宋_GB2312"/>
          <w:b/>
          <w:sz w:val="32"/>
        </w:rPr>
        <w:t>财政拨款收入支出总体与上年相比，</w:t>
      </w:r>
      <w:r>
        <w:rPr>
          <w:rFonts w:ascii="仿宋_GB2312" w:hAnsi="仿宋_GB2312" w:eastAsia="仿宋_GB2312"/>
          <w:b w:val="0"/>
          <w:sz w:val="32"/>
        </w:rPr>
        <w:t>增加89.66万元，增长3.83%，主要原因是：本年在职人员增加，在职人员工资调增、社保、公积金基数调增，人员经费增加。本年增加学校运转经费。</w:t>
      </w:r>
      <w:r>
        <w:rPr>
          <w:rFonts w:ascii="仿宋_GB2312" w:hAnsi="仿宋_GB2312" w:eastAsia="仿宋_GB2312"/>
          <w:b/>
          <w:sz w:val="32"/>
        </w:rPr>
        <w:t>与年初预</w:t>
      </w:r>
      <w:r>
        <w:rPr>
          <w:rFonts w:ascii="仿宋_GB2312" w:hAnsi="仿宋_GB2312" w:eastAsia="仿宋_GB2312"/>
          <w:b w:val="0"/>
          <w:sz w:val="32"/>
        </w:rPr>
        <w:t>算相比，年初预算数2,580.03万元，决算数2,432.20万元，预决算差异率-5.73%，主要原因是：</w:t>
      </w:r>
      <w:r>
        <w:rPr>
          <w:rFonts w:hint="eastAsia" w:ascii="仿宋_GB2312" w:hAnsi="仿宋_GB2312" w:eastAsia="仿宋_GB2312"/>
          <w:b w:val="0"/>
          <w:sz w:val="32"/>
          <w:lang w:val="en-US" w:eastAsia="zh-CN"/>
        </w:rPr>
        <w:t>年中调减</w:t>
      </w:r>
      <w:r>
        <w:rPr>
          <w:rFonts w:ascii="仿宋_GB2312" w:hAnsi="仿宋_GB2312" w:eastAsia="仿宋_GB2312"/>
          <w:b w:val="0"/>
          <w:sz w:val="32"/>
          <w:lang w:val="en-US" w:eastAsia="zh-CN"/>
        </w:rPr>
        <w:t>学前三年教育发展保障</w:t>
      </w:r>
      <w:r>
        <w:rPr>
          <w:rFonts w:hint="eastAsia" w:ascii="仿宋_GB2312" w:hAnsi="仿宋_GB2312" w:eastAsia="仿宋_GB2312"/>
          <w:b w:val="0"/>
          <w:sz w:val="32"/>
          <w:lang w:val="en-US" w:eastAsia="zh-CN"/>
        </w:rPr>
        <w:t>经费，导致预决算存在差异。</w:t>
      </w:r>
    </w:p>
    <w:p w14:paraId="5B0C0926">
      <w:pPr>
        <w:spacing w:line="640" w:lineRule="exact"/>
        <w:ind w:firstLine="640"/>
        <w:jc w:val="both"/>
        <w:outlineLvl w:val="2"/>
      </w:pPr>
      <w:r>
        <w:rPr>
          <w:rFonts w:ascii="黑体" w:hAnsi="黑体" w:eastAsia="黑体"/>
          <w:sz w:val="32"/>
        </w:rPr>
        <w:t>五、一般公共预算财政拨款支出决算情况说明</w:t>
      </w:r>
    </w:p>
    <w:p w14:paraId="6A5D95B3">
      <w:pPr>
        <w:spacing w:line="640" w:lineRule="exact"/>
        <w:ind w:firstLine="640"/>
        <w:jc w:val="both"/>
        <w:outlineLvl w:val="3"/>
      </w:pPr>
      <w:r>
        <w:rPr>
          <w:rFonts w:ascii="楷体_GB2312" w:hAnsi="楷体_GB2312" w:eastAsia="楷体_GB2312"/>
          <w:b/>
          <w:sz w:val="32"/>
        </w:rPr>
        <w:t>（一）一般公共预算财政拨款支出决算总体情况</w:t>
      </w:r>
    </w:p>
    <w:p w14:paraId="60319320">
      <w:pPr>
        <w:spacing w:line="580" w:lineRule="exact"/>
        <w:ind w:firstLine="640"/>
        <w:jc w:val="both"/>
      </w:pPr>
      <w:r>
        <w:rPr>
          <w:rFonts w:ascii="仿宋_GB2312" w:hAnsi="仿宋_GB2312" w:eastAsia="仿宋_GB2312"/>
          <w:b/>
          <w:sz w:val="32"/>
        </w:rPr>
        <w:t>2024年度一般公共预算财政拨款支出2,432.20万元，</w:t>
      </w:r>
      <w:r>
        <w:rPr>
          <w:rFonts w:ascii="仿宋_GB2312" w:hAnsi="仿宋_GB2312" w:eastAsia="仿宋_GB2312"/>
          <w:b w:val="0"/>
          <w:sz w:val="32"/>
        </w:rPr>
        <w:t>占本年支出合计的99.57%。</w:t>
      </w:r>
      <w:r>
        <w:rPr>
          <w:rFonts w:ascii="仿宋_GB2312" w:hAnsi="仿宋_GB2312" w:eastAsia="仿宋_GB2312"/>
          <w:b/>
          <w:sz w:val="32"/>
        </w:rPr>
        <w:t>与上年相比，</w:t>
      </w:r>
      <w:r>
        <w:rPr>
          <w:rFonts w:ascii="仿宋_GB2312" w:hAnsi="仿宋_GB2312" w:eastAsia="仿宋_GB2312"/>
          <w:b w:val="0"/>
          <w:sz w:val="32"/>
        </w:rPr>
        <w:t>增加89.66万元，增长3.83%，主要原因是：本年在职人员增加，在职人员工资调增、社保、公积金基数调增，人员经费增加。本年增加学校运转经费。</w:t>
      </w:r>
      <w:r>
        <w:rPr>
          <w:rFonts w:ascii="仿宋_GB2312" w:hAnsi="仿宋_GB2312" w:eastAsia="仿宋_GB2312"/>
          <w:b/>
          <w:sz w:val="32"/>
        </w:rPr>
        <w:t>与年初预算相比,</w:t>
      </w:r>
      <w:r>
        <w:rPr>
          <w:rFonts w:ascii="仿宋_GB2312" w:hAnsi="仿宋_GB2312" w:eastAsia="仿宋_GB2312"/>
          <w:b w:val="0"/>
          <w:sz w:val="32"/>
        </w:rPr>
        <w:t>年初预算数2,580.03万元，决算数2,432.20万元，预决算差异率-5.73%，主要原因是：</w:t>
      </w:r>
      <w:r>
        <w:rPr>
          <w:rFonts w:hint="eastAsia" w:ascii="仿宋_GB2312" w:hAnsi="仿宋_GB2312" w:eastAsia="仿宋_GB2312"/>
          <w:b w:val="0"/>
          <w:sz w:val="32"/>
          <w:lang w:val="en-US" w:eastAsia="zh-CN"/>
        </w:rPr>
        <w:t>年中调减</w:t>
      </w:r>
      <w:r>
        <w:rPr>
          <w:rFonts w:ascii="仿宋_GB2312" w:hAnsi="仿宋_GB2312" w:eastAsia="仿宋_GB2312"/>
          <w:b w:val="0"/>
          <w:sz w:val="32"/>
          <w:lang w:val="en-US" w:eastAsia="zh-CN"/>
        </w:rPr>
        <w:t>学前三年教育发展保障</w:t>
      </w:r>
      <w:r>
        <w:rPr>
          <w:rFonts w:hint="eastAsia" w:ascii="仿宋_GB2312" w:hAnsi="仿宋_GB2312" w:eastAsia="仿宋_GB2312"/>
          <w:b w:val="0"/>
          <w:sz w:val="32"/>
          <w:lang w:val="en-US" w:eastAsia="zh-CN"/>
        </w:rPr>
        <w:t>经费，导致预决算存在差异</w:t>
      </w:r>
      <w:r>
        <w:rPr>
          <w:rFonts w:ascii="仿宋_GB2312" w:hAnsi="仿宋_GB2312" w:eastAsia="仿宋_GB2312"/>
          <w:b w:val="0"/>
          <w:sz w:val="32"/>
        </w:rPr>
        <w:t>。</w:t>
      </w:r>
    </w:p>
    <w:p w14:paraId="5E7E4902">
      <w:pPr>
        <w:spacing w:line="640" w:lineRule="exact"/>
        <w:ind w:firstLine="640"/>
        <w:jc w:val="both"/>
        <w:outlineLvl w:val="3"/>
      </w:pPr>
      <w:r>
        <w:rPr>
          <w:rFonts w:ascii="楷体_GB2312" w:hAnsi="楷体_GB2312" w:eastAsia="楷体_GB2312"/>
          <w:b/>
          <w:sz w:val="32"/>
        </w:rPr>
        <w:t>（二）一般公共预算财政拨款支出决算结构情况</w:t>
      </w:r>
    </w:p>
    <w:p w14:paraId="3260DE27">
      <w:pPr>
        <w:spacing w:line="580" w:lineRule="exact"/>
        <w:ind w:firstLine="640"/>
        <w:jc w:val="both"/>
      </w:pPr>
      <w:r>
        <w:rPr>
          <w:rFonts w:ascii="仿宋_GB2312" w:hAnsi="仿宋_GB2312" w:eastAsia="仿宋_GB2312"/>
          <w:b w:val="0"/>
          <w:sz w:val="32"/>
        </w:rPr>
        <w:t>1.教育支出(类)2,403.19万元,占98.81%</w:t>
      </w:r>
    </w:p>
    <w:p w14:paraId="28B5DB52">
      <w:pPr>
        <w:spacing w:line="580" w:lineRule="exact"/>
        <w:ind w:firstLine="640"/>
        <w:jc w:val="both"/>
      </w:pPr>
      <w:r>
        <w:rPr>
          <w:rFonts w:ascii="仿宋_GB2312" w:hAnsi="仿宋_GB2312" w:eastAsia="仿宋_GB2312"/>
          <w:b w:val="0"/>
          <w:sz w:val="32"/>
        </w:rPr>
        <w:t>2.住房保障支出(类)29.02万元,占1.19%。</w:t>
      </w:r>
    </w:p>
    <w:p w14:paraId="1E64F880">
      <w:pPr>
        <w:spacing w:line="640" w:lineRule="exact"/>
        <w:ind w:firstLine="640"/>
        <w:jc w:val="both"/>
        <w:outlineLvl w:val="3"/>
      </w:pPr>
      <w:r>
        <w:rPr>
          <w:rFonts w:ascii="楷体_GB2312" w:hAnsi="楷体_GB2312" w:eastAsia="楷体_GB2312"/>
          <w:b/>
          <w:sz w:val="32"/>
        </w:rPr>
        <w:t>（三）一般公共预算财政拨款支出决算具体情况</w:t>
      </w:r>
    </w:p>
    <w:p w14:paraId="6022B0D4">
      <w:pPr>
        <w:spacing w:line="580" w:lineRule="exact"/>
        <w:ind w:firstLine="640"/>
        <w:jc w:val="both"/>
      </w:pPr>
      <w:r>
        <w:rPr>
          <w:rFonts w:ascii="仿宋_GB2312" w:hAnsi="仿宋_GB2312" w:eastAsia="仿宋_GB2312"/>
          <w:b w:val="0"/>
          <w:sz w:val="32"/>
        </w:rPr>
        <w:t>1.教育支出(类)普通教育(款)学前教育(项):支出决算数为2,397.12万元，比上年决算增加352.32万元，增长17.23%,主要原因是：本年在职人员增加，在职人员工资调增、社保、公积金基数调增，人员经费增加。本年功能科目调整，养老保险、住房公积金上年度单独列支，本年调整至主科目列支，导致经费较上年增加。上年1、3、7月份乡村教师生活补助在小学教育款项填列，本年在学前教育款项中填列，导致经费较上年增加。</w:t>
      </w:r>
    </w:p>
    <w:p w14:paraId="63DDCCC0">
      <w:pPr>
        <w:spacing w:line="580" w:lineRule="exact"/>
        <w:ind w:firstLine="640"/>
        <w:jc w:val="both"/>
      </w:pPr>
      <w:r>
        <w:rPr>
          <w:rFonts w:ascii="仿宋_GB2312" w:hAnsi="仿宋_GB2312" w:eastAsia="仿宋_GB2312"/>
          <w:b w:val="0"/>
          <w:sz w:val="32"/>
        </w:rPr>
        <w:t>2.教育支出(类)普通教育(款)小学教育(项):支出决算数为0.00万元，比上年决算减少2.62万元，下降100.00%,主要原因是：上年1、3、7月份乡村教师生活补助在小学教育款项填列，本年在学前教育款项中填列，导致此科目无支出。</w:t>
      </w:r>
    </w:p>
    <w:p w14:paraId="0A0D8BFB">
      <w:pPr>
        <w:spacing w:line="580" w:lineRule="exact"/>
        <w:ind w:firstLine="640"/>
        <w:jc w:val="both"/>
      </w:pPr>
      <w:r>
        <w:rPr>
          <w:rFonts w:ascii="仿宋_GB2312" w:hAnsi="仿宋_GB2312" w:eastAsia="仿宋_GB2312"/>
          <w:b w:val="0"/>
          <w:sz w:val="32"/>
        </w:rPr>
        <w:t>3.教育支出(类)教育费附加安排的支出(款)其他教育费附加安排的支出(项):支出决算数为6.07万元，比上年决算增加6.07万元，增长100.00%,主要原因是：本年增加学校运转经费。</w:t>
      </w:r>
    </w:p>
    <w:p w14:paraId="01E4BFF6">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0.00万元，比上年决算减少159.02万元，下降100.00%,主要原因是：本年功能科目调整，养老保险缴费上年度单独列支，本年调整至主科目列支，导致经费较上年减少。</w:t>
      </w:r>
    </w:p>
    <w:p w14:paraId="31B181EE">
      <w:pPr>
        <w:spacing w:line="580" w:lineRule="exact"/>
        <w:ind w:firstLine="640"/>
        <w:jc w:val="both"/>
      </w:pPr>
      <w:r>
        <w:rPr>
          <w:rFonts w:ascii="仿宋_GB2312" w:hAnsi="仿宋_GB2312" w:eastAsia="仿宋_GB2312"/>
          <w:b w:val="0"/>
          <w:sz w:val="32"/>
        </w:rPr>
        <w:t>5.住房保障支出(类)住房改革支出(款)住房公积金(项):支出决算数为29.02万元，比上年决算减少107.08万元，下降78.68%,主要原因是：本年功能科目调整，住房公积金上年度单独列支，本年调整至主科目列支，导致经费较上年减少。</w:t>
      </w:r>
    </w:p>
    <w:p w14:paraId="41F9BC22">
      <w:pPr>
        <w:spacing w:line="640" w:lineRule="exact"/>
        <w:ind w:firstLine="640"/>
        <w:jc w:val="both"/>
        <w:outlineLvl w:val="2"/>
      </w:pPr>
      <w:r>
        <w:rPr>
          <w:rFonts w:ascii="黑体" w:hAnsi="黑体" w:eastAsia="黑体"/>
          <w:sz w:val="32"/>
        </w:rPr>
        <w:t>六、一般公共预算财政拨款基本支出决算情况说明</w:t>
      </w:r>
    </w:p>
    <w:p w14:paraId="12A32B1C">
      <w:pPr>
        <w:spacing w:line="580" w:lineRule="exact"/>
        <w:ind w:firstLine="640"/>
        <w:jc w:val="both"/>
      </w:pPr>
      <w:r>
        <w:rPr>
          <w:rFonts w:ascii="仿宋_GB2312" w:hAnsi="仿宋_GB2312" w:eastAsia="仿宋_GB2312"/>
          <w:b w:val="0"/>
          <w:sz w:val="32"/>
        </w:rPr>
        <w:t>2024年度一般公共预算财政拨款基本支出2,114.46万元，其中：</w:t>
      </w:r>
      <w:r>
        <w:rPr>
          <w:rFonts w:ascii="仿宋_GB2312" w:hAnsi="仿宋_GB2312" w:eastAsia="仿宋_GB2312"/>
          <w:b/>
          <w:sz w:val="32"/>
        </w:rPr>
        <w:t>人员经费2,114.46万元，</w:t>
      </w:r>
      <w:r>
        <w:rPr>
          <w:rFonts w:ascii="仿宋_GB2312" w:hAnsi="仿宋_GB2312" w:eastAsia="仿宋_GB2312"/>
          <w:b w:val="0"/>
          <w:sz w:val="32"/>
        </w:rPr>
        <w:t>包括：基本工资、津贴补贴、奖金、机关事业单位基本养老保险缴费、职工基本医疗保险缴费、其他社会保障缴费、住房公积金。</w:t>
      </w:r>
    </w:p>
    <w:p w14:paraId="378F0402">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5F2FFCB5">
      <w:pPr>
        <w:spacing w:line="640" w:lineRule="exact"/>
        <w:ind w:firstLine="640"/>
        <w:jc w:val="both"/>
        <w:outlineLvl w:val="2"/>
      </w:pPr>
      <w:r>
        <w:rPr>
          <w:rFonts w:ascii="黑体" w:hAnsi="黑体" w:eastAsia="黑体"/>
          <w:sz w:val="32"/>
        </w:rPr>
        <w:t>七、政府性基金预算财政拨款收入支出决算情况说明</w:t>
      </w:r>
    </w:p>
    <w:p w14:paraId="45317CC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94F6EC9">
      <w:pPr>
        <w:spacing w:line="640" w:lineRule="exact"/>
        <w:ind w:firstLine="640"/>
        <w:jc w:val="both"/>
        <w:outlineLvl w:val="2"/>
      </w:pPr>
      <w:r>
        <w:rPr>
          <w:rFonts w:ascii="黑体" w:hAnsi="黑体" w:eastAsia="黑体"/>
          <w:sz w:val="32"/>
        </w:rPr>
        <w:t>八、国有资本经营预算财政拨款收入支出决算情况说明</w:t>
      </w:r>
    </w:p>
    <w:p w14:paraId="04A2855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910C814">
      <w:pPr>
        <w:spacing w:line="640" w:lineRule="exact"/>
        <w:ind w:firstLine="640"/>
        <w:jc w:val="both"/>
        <w:outlineLvl w:val="2"/>
      </w:pPr>
      <w:r>
        <w:rPr>
          <w:rFonts w:ascii="黑体" w:hAnsi="黑体" w:eastAsia="黑体"/>
          <w:sz w:val="32"/>
        </w:rPr>
        <w:t>九、财政拨款“三公”经费支出决算情况说明</w:t>
      </w:r>
    </w:p>
    <w:p w14:paraId="62A28B7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219FF35">
      <w:pPr>
        <w:spacing w:line="580" w:lineRule="exact"/>
        <w:ind w:firstLine="640"/>
        <w:jc w:val="both"/>
      </w:pPr>
      <w:r>
        <w:rPr>
          <w:rFonts w:ascii="仿宋_GB2312" w:hAnsi="仿宋_GB2312" w:eastAsia="仿宋_GB2312"/>
          <w:b/>
          <w:sz w:val="32"/>
        </w:rPr>
        <w:t>具体情况如下：</w:t>
      </w:r>
    </w:p>
    <w:p w14:paraId="091FD6F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D9A745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0D83FB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6CB218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741CD9A">
      <w:pPr>
        <w:spacing w:line="640" w:lineRule="exact"/>
        <w:ind w:firstLine="640"/>
        <w:jc w:val="both"/>
        <w:outlineLvl w:val="2"/>
      </w:pPr>
      <w:r>
        <w:rPr>
          <w:rFonts w:ascii="黑体" w:hAnsi="黑体" w:eastAsia="黑体"/>
          <w:sz w:val="32"/>
        </w:rPr>
        <w:t>十、其他重要事项的情况说明</w:t>
      </w:r>
    </w:p>
    <w:p w14:paraId="3FF20248">
      <w:pPr>
        <w:spacing w:line="640" w:lineRule="exact"/>
        <w:ind w:firstLine="640"/>
        <w:jc w:val="both"/>
        <w:outlineLvl w:val="3"/>
      </w:pPr>
      <w:r>
        <w:rPr>
          <w:rFonts w:ascii="楷体_GB2312" w:hAnsi="楷体_GB2312" w:eastAsia="楷体_GB2312"/>
          <w:b/>
          <w:sz w:val="32"/>
        </w:rPr>
        <w:t>（一）机关运行经费及公用经费支出情况</w:t>
      </w:r>
    </w:p>
    <w:p w14:paraId="1FE7D100">
      <w:pPr>
        <w:spacing w:line="580" w:lineRule="exact"/>
        <w:ind w:firstLine="640"/>
        <w:jc w:val="both"/>
      </w:pPr>
      <w:r>
        <w:rPr>
          <w:rFonts w:ascii="仿宋_GB2312" w:hAnsi="仿宋_GB2312" w:eastAsia="仿宋_GB2312"/>
          <w:b w:val="0"/>
          <w:sz w:val="32"/>
        </w:rPr>
        <w:t>2024年度阿图什市松他克镇中心幼儿园（事业单位）公用经费支出0.00万元，比上年减少2.87万元，下降100.00%，主要原因是：本年减少取暖费、办公费、办公设备购置费，导致公用经费减少。</w:t>
      </w:r>
    </w:p>
    <w:p w14:paraId="06082BC7">
      <w:pPr>
        <w:spacing w:line="640" w:lineRule="exact"/>
        <w:ind w:firstLine="640"/>
        <w:jc w:val="both"/>
        <w:outlineLvl w:val="3"/>
      </w:pPr>
      <w:r>
        <w:rPr>
          <w:rFonts w:ascii="楷体_GB2312" w:hAnsi="楷体_GB2312" w:eastAsia="楷体_GB2312"/>
          <w:b/>
          <w:sz w:val="32"/>
        </w:rPr>
        <w:t>（二）政府采购情况</w:t>
      </w:r>
    </w:p>
    <w:p w14:paraId="181739FB">
      <w:pPr>
        <w:spacing w:line="580" w:lineRule="exact"/>
        <w:ind w:firstLine="640"/>
        <w:jc w:val="both"/>
      </w:pPr>
      <w:r>
        <w:rPr>
          <w:rFonts w:ascii="仿宋_GB2312" w:hAnsi="仿宋_GB2312" w:eastAsia="仿宋_GB2312"/>
          <w:b w:val="0"/>
          <w:sz w:val="32"/>
        </w:rPr>
        <w:t>2024年度政府采购支出总额93.48万元，其中：政府采购货物支出63.53万元、政府采购工程支出11.90万元、政府采购服务支出18.04万元。</w:t>
      </w:r>
    </w:p>
    <w:p w14:paraId="7FFB5E78">
      <w:pPr>
        <w:spacing w:line="580" w:lineRule="exact"/>
        <w:ind w:firstLine="640"/>
        <w:jc w:val="both"/>
      </w:pPr>
      <w:r>
        <w:rPr>
          <w:rFonts w:ascii="仿宋_GB2312" w:hAnsi="仿宋_GB2312" w:eastAsia="仿宋_GB2312"/>
          <w:b w:val="0"/>
          <w:sz w:val="32"/>
        </w:rPr>
        <w:t>授予中小企业合同金额90.68万元，占政府采购支出总额的97.01%，其中：授予小微企业合同金额82.59万元，占政府采购支出总额的88.35%。</w:t>
      </w:r>
    </w:p>
    <w:p w14:paraId="666EAFE6">
      <w:pPr>
        <w:spacing w:line="640" w:lineRule="exact"/>
        <w:ind w:firstLine="640"/>
        <w:jc w:val="both"/>
        <w:outlineLvl w:val="3"/>
      </w:pPr>
      <w:r>
        <w:rPr>
          <w:rFonts w:ascii="楷体_GB2312" w:hAnsi="楷体_GB2312" w:eastAsia="楷体_GB2312"/>
          <w:b/>
          <w:sz w:val="32"/>
        </w:rPr>
        <w:t>（三）国有资产占用情况说明</w:t>
      </w:r>
    </w:p>
    <w:p w14:paraId="071D8707">
      <w:pPr>
        <w:spacing w:line="580" w:lineRule="exact"/>
        <w:ind w:firstLine="640"/>
        <w:jc w:val="both"/>
      </w:pPr>
      <w:r>
        <w:rPr>
          <w:rFonts w:ascii="仿宋_GB2312" w:hAnsi="仿宋_GB2312" w:eastAsia="仿宋_GB2312"/>
          <w:b w:val="0"/>
          <w:sz w:val="32"/>
        </w:rPr>
        <w:t>截至2024年12月31日，房屋3,445.95平方米，价值728.60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9981FCE">
      <w:pPr>
        <w:spacing w:line="640" w:lineRule="exact"/>
        <w:ind w:firstLine="640"/>
        <w:jc w:val="both"/>
        <w:outlineLvl w:val="2"/>
      </w:pPr>
      <w:r>
        <w:rPr>
          <w:rFonts w:ascii="黑体" w:hAnsi="黑体" w:eastAsia="黑体"/>
          <w:sz w:val="32"/>
        </w:rPr>
        <w:t>十一、预算绩效的情况说明</w:t>
      </w:r>
    </w:p>
    <w:p w14:paraId="5E3E493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2,443.61万元，实际执行总额2,442.81万元；预算绩效评价项目0个，全年预算数0.00万元，全年执行数0.00万元。预算绩效管理取得的成效：本单位无绩效自评项目。发现的问题及原因：本单位无绩效自评项目。下一步改进措施：本单位无绩效自评项目。具体附整体支出绩效自评表。</w:t>
      </w:r>
    </w:p>
    <w:p w14:paraId="13B41B6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985A968">
        <w:tblPrEx>
          <w:tblCellMar>
            <w:top w:w="0" w:type="dxa"/>
            <w:left w:w="108" w:type="dxa"/>
            <w:bottom w:w="0" w:type="dxa"/>
            <w:right w:w="108" w:type="dxa"/>
          </w:tblCellMar>
        </w:tblPrEx>
        <w:tc>
          <w:tcPr>
            <w:tcW w:w="8840" w:type="dxa"/>
            <w:gridSpan w:val="8"/>
            <w:vAlign w:val="center"/>
          </w:tcPr>
          <w:p w14:paraId="629C31AC">
            <w:pPr>
              <w:jc w:val="center"/>
            </w:pPr>
            <w:r>
              <w:rPr>
                <w:rFonts w:ascii="宋体" w:hAnsi="宋体" w:eastAsia="宋体"/>
                <w:sz w:val="24"/>
              </w:rPr>
              <w:t>单位整体支出绩效自评表</w:t>
            </w:r>
          </w:p>
        </w:tc>
      </w:tr>
      <w:tr w14:paraId="652F520C">
        <w:tblPrEx>
          <w:tblCellMar>
            <w:top w:w="0" w:type="dxa"/>
            <w:left w:w="108" w:type="dxa"/>
            <w:bottom w:w="0" w:type="dxa"/>
            <w:right w:w="108" w:type="dxa"/>
          </w:tblCellMar>
        </w:tblPrEx>
        <w:tc>
          <w:tcPr>
            <w:tcW w:w="8840" w:type="dxa"/>
            <w:gridSpan w:val="8"/>
            <w:vAlign w:val="center"/>
          </w:tcPr>
          <w:p w14:paraId="4359D8EA">
            <w:pPr>
              <w:jc w:val="center"/>
            </w:pPr>
            <w:r>
              <w:rPr>
                <w:rFonts w:ascii="宋体" w:hAnsi="宋体" w:eastAsia="宋体"/>
                <w:sz w:val="24"/>
              </w:rPr>
              <w:t>（2024年度）</w:t>
            </w:r>
          </w:p>
        </w:tc>
      </w:tr>
      <w:tr w14:paraId="302A84B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0242B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37EB84">
            <w:pPr>
              <w:jc w:val="center"/>
            </w:pPr>
            <w:r>
              <w:rPr>
                <w:rFonts w:ascii="宋体" w:hAnsi="宋体" w:eastAsia="宋体"/>
                <w:sz w:val="16"/>
              </w:rPr>
              <w:t>阿图什市松他克镇中心幼儿园</w:t>
            </w:r>
          </w:p>
        </w:tc>
      </w:tr>
      <w:tr w14:paraId="47FE44F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A1779C">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7C423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F96037">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4C497E">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DCCAF3">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9FEA8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B0393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755976">
            <w:pPr>
              <w:jc w:val="center"/>
            </w:pPr>
            <w:r>
              <w:rPr>
                <w:rFonts w:ascii="宋体" w:hAnsi="宋体" w:eastAsia="宋体"/>
                <w:sz w:val="16"/>
              </w:rPr>
              <w:t>得分</w:t>
            </w:r>
          </w:p>
        </w:tc>
      </w:tr>
      <w:tr w14:paraId="543A765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BA32A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03935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66B3E4">
            <w:pPr>
              <w:jc w:val="center"/>
            </w:pPr>
            <w:r>
              <w:rPr>
                <w:rFonts w:ascii="宋体" w:hAnsi="宋体" w:eastAsia="宋体"/>
                <w:sz w:val="16"/>
              </w:rPr>
              <w:t>2,194.41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24203F">
            <w:pPr>
              <w:jc w:val="center"/>
            </w:pPr>
            <w:r>
              <w:rPr>
                <w:rFonts w:ascii="宋体" w:hAnsi="宋体" w:eastAsia="宋体"/>
                <w:sz w:val="16"/>
              </w:rPr>
              <w:t>2,443.61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C47FBD">
            <w:pPr>
              <w:jc w:val="center"/>
            </w:pPr>
            <w:r>
              <w:rPr>
                <w:rFonts w:ascii="宋体" w:hAnsi="宋体" w:eastAsia="宋体"/>
                <w:sz w:val="16"/>
              </w:rPr>
              <w:t>2,442.81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DAF3E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0FCAB7">
            <w:pPr>
              <w:jc w:val="center"/>
            </w:pPr>
            <w:r>
              <w:rPr>
                <w:rFonts w:ascii="宋体" w:hAnsi="宋体" w:eastAsia="宋体"/>
                <w:sz w:val="16"/>
              </w:rPr>
              <w:t>99.97%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E8D8C6">
            <w:pPr>
              <w:jc w:val="center"/>
            </w:pPr>
            <w:r>
              <w:rPr>
                <w:rFonts w:hint="eastAsia" w:ascii="宋体" w:hAnsi="宋体" w:eastAsia="宋体"/>
                <w:sz w:val="16"/>
              </w:rPr>
              <w:t>9.99</w:t>
            </w:r>
          </w:p>
        </w:tc>
      </w:tr>
      <w:tr w14:paraId="2A3D021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6B6FF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7F995C">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B1F56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88298E">
            <w:pPr>
              <w:jc w:val="center"/>
            </w:pPr>
            <w:r>
              <w:rPr>
                <w:rFonts w:ascii="宋体" w:hAnsi="宋体" w:eastAsia="宋体"/>
                <w:sz w:val="16"/>
              </w:rPr>
              <w:t>311.68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C3EB8A">
            <w:pPr>
              <w:jc w:val="center"/>
            </w:pPr>
            <w:r>
              <w:rPr>
                <w:rFonts w:ascii="宋体" w:hAnsi="宋体" w:eastAsia="宋体"/>
                <w:sz w:val="16"/>
              </w:rPr>
              <w:t>311.68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224BF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5FB24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5E0B4C">
            <w:pPr>
              <w:jc w:val="center"/>
            </w:pPr>
            <w:r>
              <w:rPr>
                <w:rFonts w:ascii="宋体" w:hAnsi="宋体" w:eastAsia="宋体"/>
                <w:sz w:val="16"/>
              </w:rPr>
              <w:t>—</w:t>
            </w:r>
          </w:p>
        </w:tc>
      </w:tr>
      <w:tr w14:paraId="20A2D20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2FB98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685122">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8D8A1">
            <w:pPr>
              <w:jc w:val="center"/>
            </w:pPr>
            <w:r>
              <w:rPr>
                <w:rFonts w:ascii="宋体" w:hAnsi="宋体" w:eastAsia="宋体"/>
                <w:sz w:val="16"/>
              </w:rPr>
              <w:t>2,194.41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9FA452">
            <w:pPr>
              <w:jc w:val="center"/>
            </w:pPr>
            <w:r>
              <w:rPr>
                <w:rFonts w:ascii="宋体" w:hAnsi="宋体" w:eastAsia="宋体"/>
                <w:sz w:val="16"/>
              </w:rPr>
              <w:t>2,131.93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3E00F">
            <w:pPr>
              <w:jc w:val="center"/>
            </w:pPr>
            <w:r>
              <w:rPr>
                <w:rFonts w:ascii="宋体" w:hAnsi="宋体" w:eastAsia="宋体"/>
                <w:sz w:val="16"/>
              </w:rPr>
              <w:t>2,131.13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44263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D1A55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A1DD16">
            <w:pPr>
              <w:jc w:val="center"/>
            </w:pPr>
            <w:r>
              <w:rPr>
                <w:rFonts w:ascii="宋体" w:hAnsi="宋体" w:eastAsia="宋体"/>
                <w:sz w:val="16"/>
              </w:rPr>
              <w:t>—</w:t>
            </w:r>
          </w:p>
        </w:tc>
      </w:tr>
      <w:tr w14:paraId="6A4CE8A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7ADBF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70375B">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28374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1E3E4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ED0F4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73556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55F46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751A07">
            <w:pPr>
              <w:jc w:val="center"/>
            </w:pPr>
            <w:r>
              <w:rPr>
                <w:rFonts w:ascii="宋体" w:hAnsi="宋体" w:eastAsia="宋体"/>
                <w:sz w:val="16"/>
              </w:rPr>
              <w:t>—</w:t>
            </w:r>
          </w:p>
        </w:tc>
      </w:tr>
      <w:tr w14:paraId="3062F7A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02CED7">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CBB7B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F8FE90A">
            <w:pPr>
              <w:jc w:val="center"/>
            </w:pPr>
            <w:r>
              <w:rPr>
                <w:rFonts w:ascii="宋体" w:hAnsi="宋体" w:eastAsia="宋体"/>
                <w:sz w:val="16"/>
              </w:rPr>
              <w:t>实际完成情况</w:t>
            </w:r>
          </w:p>
        </w:tc>
      </w:tr>
      <w:tr w14:paraId="277B3D5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6224E6"/>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5F32A9">
            <w:pPr>
              <w:jc w:val="both"/>
            </w:pPr>
            <w:r>
              <w:rPr>
                <w:rFonts w:ascii="宋体" w:hAnsi="宋体" w:eastAsia="宋体"/>
                <w:sz w:val="16"/>
              </w:rPr>
              <w:t>单位基本职能：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思想品德教育，使学生的德智体全面发展；抓好教师队伍建设，使每个教师都热心于教育事业；做好安全防范，保证学生的人身安全</w:t>
            </w:r>
            <w:r>
              <w:rPr>
                <w:rFonts w:hint="eastAsia" w:ascii="宋体" w:hAnsi="宋体"/>
                <w:sz w:val="16"/>
                <w:lang w:eastAsia="zh-CN"/>
              </w:rPr>
              <w:t>。</w:t>
            </w:r>
            <w:r>
              <w:rPr>
                <w:rFonts w:ascii="宋体" w:hAnsi="宋体" w:eastAsia="宋体"/>
                <w:sz w:val="16"/>
              </w:rPr>
              <w:t xml:space="preserve"> </w:t>
            </w:r>
            <w:r>
              <w:rPr>
                <w:rFonts w:ascii="宋体" w:hAnsi="宋体" w:eastAsia="宋体"/>
                <w:sz w:val="16"/>
              </w:rPr>
              <w:br w:type="textWrapping"/>
            </w:r>
            <w:r>
              <w:rPr>
                <w:rFonts w:ascii="宋体" w:hAnsi="宋体" w:eastAsia="宋体"/>
                <w:sz w:val="16"/>
              </w:rPr>
              <w:t xml:space="preserve">机构设置及人员配置：无下属预算单位，下设4个科室，编制数163，实有人数147人，在职147人，退休0人。 </w:t>
            </w:r>
            <w:r>
              <w:rPr>
                <w:rFonts w:ascii="宋体" w:hAnsi="宋体" w:eastAsia="宋体"/>
                <w:sz w:val="16"/>
              </w:rPr>
              <w:br w:type="textWrapping"/>
            </w:r>
            <w:r>
              <w:rPr>
                <w:rFonts w:ascii="宋体" w:hAnsi="宋体" w:eastAsia="宋体"/>
                <w:sz w:val="16"/>
              </w:rPr>
              <w:t xml:space="preserve">中长期规划：基于新课标和新课程改革纲要，以扎实推进素质教育为目标，加强理论学习、转变思想观念、深化教研教改工作，全面提高教学质量，不断探索贯彻启发式、探索式学习思想的课堂教学模式。大力推崇开放式的，适应新教材的新型课。强化教师岗位培训，提高教师素质，促进新教师真正从学习型到创新型，老教师从经验性大科研型的转变，扎扎实实做好每一项工作，使教研教改共同代全校基础工作蓬勃发展。 </w:t>
            </w:r>
            <w:r>
              <w:rPr>
                <w:rFonts w:ascii="宋体" w:hAnsi="宋体" w:eastAsia="宋体"/>
                <w:sz w:val="16"/>
              </w:rPr>
              <w:br w:type="textWrapping"/>
            </w:r>
            <w:r>
              <w:rPr>
                <w:rFonts w:ascii="宋体" w:hAnsi="宋体" w:eastAsia="宋体"/>
                <w:sz w:val="16"/>
              </w:rPr>
              <w:t xml:space="preserve">  保障单位在职147人的工资福利及各项补助正常发放及部门正常运转；保障单位预算项目按计划实施，便于开展检查指导学</w:t>
            </w:r>
            <w:bookmarkStart w:id="0" w:name="_GoBack"/>
            <w:r>
              <w:rPr>
                <w:rFonts w:ascii="宋体" w:hAnsi="宋体" w:eastAsia="宋体"/>
                <w:sz w:val="16"/>
              </w:rPr>
              <w:t>习</w:t>
            </w:r>
            <w:bookmarkEnd w:id="0"/>
            <w:r>
              <w:rPr>
                <w:rFonts w:ascii="宋体" w:hAnsi="宋体" w:eastAsia="宋体"/>
                <w:sz w:val="16"/>
              </w:rPr>
              <w:t>各级各类学校工作，对全市教师开展培训工作，提高教学能力，为支教教师购买生活物资，提高支教教师幸福感、归属感，积极开展校园文化建设，培养学生身心全面发展。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04DA939">
            <w:pPr>
              <w:jc w:val="both"/>
            </w:pPr>
            <w:r>
              <w:rPr>
                <w:rFonts w:ascii="宋体" w:hAnsi="宋体" w:eastAsia="宋体"/>
                <w:sz w:val="16"/>
              </w:rPr>
              <w:t xml:space="preserve">本单位共计支出2442.81万元，用于保障部门在职147人，退休0人的工资福利、各项补助正常发放及部门单位正常运转，单位预算项目根据年初计划均已完成，开展检查指导学习各级各类学校工作，对全市教师开展培训工作，提高教学能力，为教师购买生活物资，提高教师幸福感、归属感，积极开展校园文化建设，培养学生身心全面发展，年度任务中完成法制教育课和安全知识讲座10场，教师培训人数85人，保障单位正常运转期限12个月等目标。 </w:t>
            </w:r>
          </w:p>
        </w:tc>
      </w:tr>
      <w:tr w14:paraId="35CE4F1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003E0A">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E54DB1">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9FD736">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9CEBA6">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1115A9">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22157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3745B2">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9B3BCF">
            <w:pPr>
              <w:jc w:val="center"/>
            </w:pPr>
            <w:r>
              <w:rPr>
                <w:rFonts w:ascii="宋体" w:hAnsi="宋体" w:eastAsia="宋体"/>
                <w:sz w:val="16"/>
              </w:rPr>
              <w:t>得分</w:t>
            </w:r>
          </w:p>
        </w:tc>
      </w:tr>
      <w:tr w14:paraId="65BAB70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3B4508">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074925">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56B2FB">
            <w:pPr>
              <w:jc w:val="center"/>
            </w:pPr>
            <w:r>
              <w:rPr>
                <w:rFonts w:ascii="宋体" w:hAnsi="宋体" w:eastAsia="宋体"/>
                <w:sz w:val="16"/>
              </w:rPr>
              <w:t>法制教育课和交通安全知识讲座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3455D9">
            <w:pPr>
              <w:jc w:val="center"/>
            </w:pPr>
            <w:r>
              <w:rPr>
                <w:rFonts w:ascii="宋体" w:hAnsi="宋体" w:eastAsia="宋体"/>
                <w:sz w:val="16"/>
              </w:rPr>
              <w:t>&gt;=10场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3A48FD">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42D8B9">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C2D0B3">
            <w:pPr>
              <w:jc w:val="center"/>
            </w:pPr>
            <w:r>
              <w:rPr>
                <w:rFonts w:ascii="宋体" w:hAnsi="宋体" w:eastAsia="宋体"/>
                <w:sz w:val="16"/>
              </w:rPr>
              <w:t>10场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7AA9A5">
            <w:pPr>
              <w:jc w:val="center"/>
            </w:pPr>
            <w:r>
              <w:rPr>
                <w:rFonts w:ascii="宋体" w:hAnsi="宋体" w:eastAsia="宋体"/>
                <w:sz w:val="16"/>
              </w:rPr>
              <w:t>18</w:t>
            </w:r>
          </w:p>
        </w:tc>
      </w:tr>
      <w:tr w14:paraId="68EF723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78A402">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59EBB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57FF1C">
            <w:pPr>
              <w:jc w:val="center"/>
            </w:pPr>
            <w:r>
              <w:rPr>
                <w:rFonts w:ascii="宋体" w:hAnsi="宋体" w:eastAsia="宋体"/>
                <w:sz w:val="16"/>
              </w:rPr>
              <w:t>教师培训人数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130074">
            <w:pPr>
              <w:jc w:val="center"/>
            </w:pPr>
            <w:r>
              <w:rPr>
                <w:rFonts w:ascii="宋体" w:hAnsi="宋体" w:eastAsia="宋体"/>
                <w:sz w:val="16"/>
              </w:rPr>
              <w:t>&gt;=85人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822BA2">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FA4A18">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129C65">
            <w:pPr>
              <w:jc w:val="center"/>
            </w:pPr>
            <w:r>
              <w:rPr>
                <w:rFonts w:ascii="宋体" w:hAnsi="宋体" w:eastAsia="宋体"/>
                <w:sz w:val="16"/>
              </w:rPr>
              <w:t>85人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7092E8">
            <w:pPr>
              <w:jc w:val="center"/>
            </w:pPr>
            <w:r>
              <w:rPr>
                <w:rFonts w:ascii="宋体" w:hAnsi="宋体" w:eastAsia="宋体"/>
                <w:sz w:val="16"/>
              </w:rPr>
              <w:t>18</w:t>
            </w:r>
          </w:p>
        </w:tc>
      </w:tr>
      <w:tr w14:paraId="3190886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8E14FE"/>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561DC9">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2901C2">
            <w:pPr>
              <w:jc w:val="center"/>
            </w:pPr>
            <w:r>
              <w:rPr>
                <w:rFonts w:ascii="宋体" w:hAnsi="宋体" w:eastAsia="宋体"/>
                <w:sz w:val="16"/>
              </w:rPr>
              <w:t>保障单位日常运转期限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805087">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477A5F">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6F0070">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AF85C3">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169047">
            <w:pPr>
              <w:jc w:val="center"/>
            </w:pPr>
            <w:r>
              <w:rPr>
                <w:rFonts w:ascii="宋体" w:hAnsi="宋体" w:eastAsia="宋体"/>
                <w:sz w:val="16"/>
              </w:rPr>
              <w:t>18</w:t>
            </w:r>
          </w:p>
        </w:tc>
      </w:tr>
      <w:tr w14:paraId="4E72E63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80D0A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4FD16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E3E3DD">
            <w:pPr>
              <w:jc w:val="center"/>
            </w:pPr>
            <w:r>
              <w:rPr>
                <w:rFonts w:ascii="宋体" w:hAnsi="宋体" w:eastAsia="宋体"/>
                <w:sz w:val="16"/>
              </w:rPr>
              <w:t>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1B497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228F2B">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C27B09">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6B5AD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818C3A">
            <w:pPr>
              <w:jc w:val="center"/>
            </w:pPr>
            <w:r>
              <w:rPr>
                <w:rFonts w:ascii="宋体" w:hAnsi="宋体" w:eastAsia="宋体"/>
                <w:sz w:val="16"/>
              </w:rPr>
              <w:t>18</w:t>
            </w:r>
          </w:p>
        </w:tc>
      </w:tr>
      <w:tr w14:paraId="0D804A9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52A7C3">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F2E657">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E133D5">
            <w:pPr>
              <w:jc w:val="center"/>
            </w:pPr>
            <w:r>
              <w:rPr>
                <w:rFonts w:ascii="宋体" w:hAnsi="宋体" w:eastAsia="宋体"/>
                <w:sz w:val="16"/>
              </w:rPr>
              <w:t>学前教育巩固率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98A1C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24C5CE">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6F759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6ACEC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CFDE6A">
            <w:pPr>
              <w:jc w:val="center"/>
            </w:pPr>
            <w:r>
              <w:rPr>
                <w:rFonts w:ascii="宋体" w:hAnsi="宋体" w:eastAsia="宋体"/>
                <w:sz w:val="16"/>
              </w:rPr>
              <w:t>18</w:t>
            </w:r>
          </w:p>
        </w:tc>
      </w:tr>
    </w:tbl>
    <w:p w14:paraId="3E2D9440">
      <w:r>
        <w:br w:type="page"/>
      </w:r>
    </w:p>
    <w:p w14:paraId="15799CC7">
      <w:pPr>
        <w:spacing w:line="640" w:lineRule="exact"/>
        <w:ind w:firstLine="640"/>
        <w:jc w:val="both"/>
        <w:outlineLvl w:val="2"/>
      </w:pPr>
      <w:r>
        <w:rPr>
          <w:rFonts w:ascii="黑体" w:hAnsi="黑体" w:eastAsia="黑体"/>
          <w:sz w:val="32"/>
        </w:rPr>
        <w:t>十二、其他需说明的事项</w:t>
      </w:r>
    </w:p>
    <w:p w14:paraId="6193497F">
      <w:pPr>
        <w:spacing w:line="580" w:lineRule="exact"/>
        <w:ind w:firstLine="640"/>
        <w:jc w:val="both"/>
      </w:pPr>
      <w:r>
        <w:rPr>
          <w:rFonts w:ascii="仿宋_GB2312" w:hAnsi="仿宋_GB2312" w:eastAsia="仿宋_GB2312"/>
          <w:b w:val="0"/>
          <w:sz w:val="32"/>
        </w:rPr>
        <w:t>本单位无其他需说明的事项。</w:t>
      </w:r>
    </w:p>
    <w:p w14:paraId="3153A28F">
      <w:r>
        <w:br w:type="page"/>
      </w:r>
    </w:p>
    <w:p w14:paraId="6111643D">
      <w:pPr>
        <w:spacing w:line="240" w:lineRule="auto"/>
        <w:jc w:val="center"/>
        <w:outlineLvl w:val="1"/>
      </w:pPr>
      <w:r>
        <w:rPr>
          <w:rFonts w:ascii="黑体" w:hAnsi="黑体" w:eastAsia="黑体"/>
          <w:sz w:val="32"/>
        </w:rPr>
        <w:t>第三部分 专业名词解释</w:t>
      </w:r>
    </w:p>
    <w:p w14:paraId="58279C3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B24CEC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765DEE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7A1D19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1755D5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B2BA5C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34A5B9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ADCD9B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D9D260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89B152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114BBB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DE9CF9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FF59AF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D615BD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8F2FF74">
      <w:r>
        <w:br w:type="page"/>
      </w:r>
    </w:p>
    <w:p w14:paraId="02851DDE">
      <w:pPr>
        <w:spacing w:line="240" w:lineRule="auto"/>
        <w:jc w:val="center"/>
        <w:outlineLvl w:val="1"/>
      </w:pPr>
      <w:r>
        <w:rPr>
          <w:rFonts w:ascii="黑体" w:hAnsi="黑体" w:eastAsia="黑体"/>
          <w:sz w:val="32"/>
        </w:rPr>
        <w:t>第四部分 部门决算报表（见附表）</w:t>
      </w:r>
    </w:p>
    <w:p w14:paraId="3009F76F">
      <w:pPr>
        <w:spacing w:line="240" w:lineRule="auto"/>
        <w:ind w:firstLine="640"/>
        <w:jc w:val="both"/>
      </w:pPr>
      <w:r>
        <w:rPr>
          <w:rFonts w:ascii="仿宋_GB2312" w:hAnsi="仿宋_GB2312" w:eastAsia="仿宋_GB2312"/>
          <w:b w:val="0"/>
          <w:sz w:val="32"/>
        </w:rPr>
        <w:t>一、《收入支出决算总表》</w:t>
      </w:r>
    </w:p>
    <w:p w14:paraId="3EFA6195">
      <w:pPr>
        <w:spacing w:line="240" w:lineRule="auto"/>
        <w:ind w:firstLine="640"/>
        <w:jc w:val="both"/>
      </w:pPr>
      <w:r>
        <w:rPr>
          <w:rFonts w:ascii="仿宋_GB2312" w:hAnsi="仿宋_GB2312" w:eastAsia="仿宋_GB2312"/>
          <w:b w:val="0"/>
          <w:sz w:val="32"/>
        </w:rPr>
        <w:t>二、《收入决算表》</w:t>
      </w:r>
    </w:p>
    <w:p w14:paraId="3DD50AC7">
      <w:pPr>
        <w:spacing w:line="240" w:lineRule="auto"/>
        <w:ind w:firstLine="640"/>
        <w:jc w:val="both"/>
      </w:pPr>
      <w:r>
        <w:rPr>
          <w:rFonts w:ascii="仿宋_GB2312" w:hAnsi="仿宋_GB2312" w:eastAsia="仿宋_GB2312"/>
          <w:b w:val="0"/>
          <w:sz w:val="32"/>
        </w:rPr>
        <w:t>三、《支出决算表》</w:t>
      </w:r>
    </w:p>
    <w:p w14:paraId="37D458D8">
      <w:pPr>
        <w:spacing w:line="240" w:lineRule="auto"/>
        <w:ind w:firstLine="640"/>
        <w:jc w:val="both"/>
      </w:pPr>
      <w:r>
        <w:rPr>
          <w:rFonts w:ascii="仿宋_GB2312" w:hAnsi="仿宋_GB2312" w:eastAsia="仿宋_GB2312"/>
          <w:b w:val="0"/>
          <w:sz w:val="32"/>
        </w:rPr>
        <w:t>四、《财政拨款收入支出决算总表》</w:t>
      </w:r>
    </w:p>
    <w:p w14:paraId="35DAA96F">
      <w:pPr>
        <w:spacing w:line="240" w:lineRule="auto"/>
        <w:ind w:firstLine="640"/>
        <w:jc w:val="both"/>
      </w:pPr>
      <w:r>
        <w:rPr>
          <w:rFonts w:ascii="仿宋_GB2312" w:hAnsi="仿宋_GB2312" w:eastAsia="仿宋_GB2312"/>
          <w:b w:val="0"/>
          <w:sz w:val="32"/>
        </w:rPr>
        <w:t>五、《一般公共预算财政拨款支出决算表》</w:t>
      </w:r>
    </w:p>
    <w:p w14:paraId="4E5A485B">
      <w:pPr>
        <w:spacing w:line="240" w:lineRule="auto"/>
        <w:ind w:firstLine="640"/>
        <w:jc w:val="both"/>
      </w:pPr>
      <w:r>
        <w:rPr>
          <w:rFonts w:ascii="仿宋_GB2312" w:hAnsi="仿宋_GB2312" w:eastAsia="仿宋_GB2312"/>
          <w:b w:val="0"/>
          <w:sz w:val="32"/>
        </w:rPr>
        <w:t>六、《一般公共预算财政拨款基本支出决算表》</w:t>
      </w:r>
    </w:p>
    <w:p w14:paraId="64348A43">
      <w:pPr>
        <w:spacing w:line="240" w:lineRule="auto"/>
        <w:ind w:firstLine="640"/>
        <w:jc w:val="both"/>
      </w:pPr>
      <w:r>
        <w:rPr>
          <w:rFonts w:ascii="仿宋_GB2312" w:hAnsi="仿宋_GB2312" w:eastAsia="仿宋_GB2312"/>
          <w:b w:val="0"/>
          <w:sz w:val="32"/>
        </w:rPr>
        <w:t>七、《政府性基金预算财政拨款收入支出决算表》</w:t>
      </w:r>
    </w:p>
    <w:p w14:paraId="76DE8FDB">
      <w:pPr>
        <w:spacing w:line="240" w:lineRule="auto"/>
        <w:ind w:firstLine="640"/>
        <w:jc w:val="both"/>
      </w:pPr>
      <w:r>
        <w:rPr>
          <w:rFonts w:ascii="仿宋_GB2312" w:hAnsi="仿宋_GB2312" w:eastAsia="仿宋_GB2312"/>
          <w:b w:val="0"/>
          <w:sz w:val="32"/>
        </w:rPr>
        <w:t>八、《国有资本经营预算财政拨款收入支出决算表》</w:t>
      </w:r>
    </w:p>
    <w:p w14:paraId="433EF968">
      <w:pPr>
        <w:spacing w:line="240" w:lineRule="auto"/>
        <w:ind w:firstLine="640"/>
        <w:jc w:val="both"/>
      </w:pPr>
      <w:r>
        <w:rPr>
          <w:rFonts w:ascii="仿宋_GB2312" w:hAnsi="仿宋_GB2312" w:eastAsia="仿宋_GB2312"/>
          <w:b w:val="0"/>
          <w:sz w:val="32"/>
        </w:rPr>
        <w:t>九、《财政拨款“三公”经费支出决算表》</w:t>
      </w:r>
    </w:p>
    <w:p w14:paraId="692BEA9A">
      <w:pPr>
        <w:spacing w:line="240" w:lineRule="auto"/>
        <w:ind w:firstLine="640"/>
        <w:jc w:val="both"/>
      </w:pPr>
    </w:p>
    <w:p w14:paraId="4F50EC14">
      <w:pPr>
        <w:spacing w:line="240" w:lineRule="auto"/>
        <w:ind w:firstLine="640"/>
        <w:jc w:val="both"/>
      </w:pPr>
    </w:p>
    <w:p w14:paraId="2A6F71F1">
      <w:pPr>
        <w:spacing w:line="240" w:lineRule="auto"/>
        <w:ind w:firstLine="640"/>
        <w:jc w:val="both"/>
      </w:pPr>
    </w:p>
    <w:p w14:paraId="4C06F42A">
      <w:pPr>
        <w:spacing w:line="240" w:lineRule="auto"/>
        <w:ind w:firstLine="640"/>
        <w:jc w:val="both"/>
      </w:pPr>
    </w:p>
    <w:p w14:paraId="55509D1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7E22C25-B2C9-4DBF-9774-0085CA7979F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5AEFF6C-E6FE-4FF8-ADE7-C9911C029374}"/>
  </w:font>
  <w:font w:name="仿宋_GB2312">
    <w:panose1 w:val="02010609030101010101"/>
    <w:charset w:val="86"/>
    <w:family w:val="modern"/>
    <w:pitch w:val="default"/>
    <w:sig w:usb0="00000001" w:usb1="080E0000" w:usb2="00000000" w:usb3="00000000" w:csb0="00040000" w:csb1="00000000"/>
    <w:embedRegular r:id="rId3" w:fontKey="{4A535735-9628-41C1-8705-743BFF97EA7B}"/>
  </w:font>
  <w:font w:name="楷体_GB2312">
    <w:panose1 w:val="02010609030101010101"/>
    <w:charset w:val="86"/>
    <w:family w:val="auto"/>
    <w:pitch w:val="default"/>
    <w:sig w:usb0="00000001" w:usb1="080E0000" w:usb2="00000000" w:usb3="00000000" w:csb0="00040000" w:csb1="00000000"/>
    <w:embedRegular r:id="rId4" w:fontKey="{0BC3A044-C5B0-4E10-8941-57D3CD33364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F2004C"/>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14FF8"/>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4036C94"/>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336B29"/>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404B0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642c6702-fbba-4274-adc2-bcd4fc40a93b</errorID>
      <errorWord>,</errorWord>
      <group>L1_Format</group>
      <groupName>格式问题</groupName>
      <ability>L2_HalfPunc</ability>
      <abilityName>全半角检查</abilityName>
      <candidateList>
        <item>，</item>
      </candidateList>
      <explain>文本全半角错误。</explain>
      <paraID>7AEF84D5</paraID>
      <start>64</start>
      <end>65</end>
      <status>unmodified</status>
      <modifiedWord/>
      <trackRevisions>false</trackRevisions>
    </reviewItem>
    <reviewItem>
      <errorID>4dfc982c-59ee-4233-9aeb-3da16b23bcae</errorID>
      <errorWord>,</errorWord>
      <group>L1_Format</group>
      <groupName>格式问题</groupName>
      <ability>L2_HalfPunc</ability>
      <abilityName>全半角检查</abilityName>
      <candidateList>
        <item>，</item>
      </candidateList>
      <explain>文本全半角错误。</explain>
      <paraID>60319320</paraID>
      <start>128</start>
      <end>129</end>
      <status>unmodified</status>
      <modifiedWord/>
      <trackRevisions>false</trackRevisions>
    </reviewItem>
    <reviewItem>
      <errorID>8d3544ec-3129-41c9-826f-84e244bb182b</errorID>
      <errorWord>,</errorWord>
      <group>L1_Format</group>
      <groupName>格式问题</groupName>
      <ability>L2_HalfPunc</ability>
      <abilityName>全半角检查</abilityName>
      <candidateList>
        <item>，</item>
      </candidateList>
      <explain>文本全半角错误。</explain>
      <paraID>3260DE27</paraID>
      <start>19</start>
      <end>20</end>
      <status>unmodified</status>
      <modifiedWord/>
      <trackRevisions>false</trackRevisions>
    </reviewItem>
    <reviewItem>
      <errorID>299434ee-d1f2-43ce-922f-6b62c2847a78</errorID>
      <errorWord>,</errorWord>
      <group>L1_Format</group>
      <groupName>格式问题</groupName>
      <ability>L2_HalfPunc</ability>
      <abilityName>全半角检查</abilityName>
      <candidateList>
        <item>，</item>
      </candidateList>
      <explain>文本全半角错误。</explain>
      <paraID>28B5DB52</paraID>
      <start>18</start>
      <end>19</end>
      <status>unmodified</status>
      <modifiedWord/>
      <trackRevisions>false</trackRevisions>
    </reviewItem>
    <reviewItem>
      <errorID>cba04a99-1b98-42c6-a29e-b25d2303465e</errorID>
      <errorWord>:</errorWord>
      <group>L1_Format</group>
      <groupName>格式问题</groupName>
      <ability>L2_HalfPunc</ability>
      <abilityName>全半角检查</abilityName>
      <candidateList>
        <item>：</item>
      </candidateList>
      <explain>文本全半角错误。</explain>
      <paraID>6022B0D4</paraID>
      <start>23</start>
      <end>24</end>
      <status>unmodified</status>
      <modifiedWord/>
      <trackRevisions>false</trackRevisions>
    </reviewItem>
    <reviewItem>
      <errorID>baae4800-4f53-4207-87b1-6b3eb0a4ed66</errorID>
      <errorWord>,</errorWord>
      <group>L1_Format</group>
      <groupName>格式问题</groupName>
      <ability>L2_HalfPunc</ability>
      <abilityName>全半角检查</abilityName>
      <candidateList>
        <item>，</item>
      </candidateList>
      <explain>文本全半角错误。</explain>
      <paraID>6022B0D4</paraID>
      <start>65</start>
      <end>66</end>
      <status>unmodified</status>
      <modifiedWord/>
      <trackRevisions>false</trackRevisions>
    </reviewItem>
    <reviewItem>
      <errorID>abc81d7e-45a5-4cee-b2d0-9c6f99fd1aa0</errorID>
      <errorWord>:</errorWord>
      <group>L1_Format</group>
      <groupName>格式问题</groupName>
      <ability>L2_HalfPunc</ability>
      <abilityName>全半角检查</abilityName>
      <candidateList>
        <item>：</item>
      </candidateList>
      <explain>文本全半角错误。</explain>
      <paraID>63DDCCC0</paraID>
      <start>23</start>
      <end>24</end>
      <status>unmodified</status>
      <modifiedWord/>
      <trackRevisions>false</trackRevisions>
    </reviewItem>
    <reviewItem>
      <errorID>e6e18bef-bb06-4678-91cd-1cdab65f4eab</errorID>
      <errorWord>,</errorWord>
      <group>L1_Format</group>
      <groupName>格式问题</groupName>
      <ability>L2_HalfPunc</ability>
      <abilityName>全半角检查</abilityName>
      <candidateList>
        <item>，</item>
      </candidateList>
      <explain>文本全半角错误。</explain>
      <paraID>63DDCCC0</paraID>
      <start>60</start>
      <end>61</end>
      <status>unmodified</status>
      <modifiedWord/>
      <trackRevisions>false</trackRevisions>
    </reviewItem>
    <reviewItem>
      <errorID>d0f7bfda-304a-404b-abcd-c98f2f515f7d</errorID>
      <errorWord>:</errorWord>
      <group>L1_Format</group>
      <groupName>格式问题</groupName>
      <ability>L2_HalfPunc</ability>
      <abilityName>全半角检查</abilityName>
      <candidateList>
        <item>：</item>
      </candidateList>
      <explain>文本全半角错误。</explain>
      <paraID> A0D8BFB</paraID>
      <start>37</start>
      <end>38</end>
      <status>unmodified</status>
      <modifiedWord/>
      <trackRevisions>false</trackRevisions>
    </reviewItem>
    <reviewItem>
      <errorID>62554975-3385-47e6-9e98-96ed812aecb6</errorID>
      <errorWord>,</errorWord>
      <group>L1_Format</group>
      <groupName>格式问题</groupName>
      <ability>L2_HalfPunc</ability>
      <abilityName>全半角检查</abilityName>
      <candidateList>
        <item>，</item>
      </candidateList>
      <explain>文本全半角错误。</explain>
      <paraID> A0D8BFB</paraID>
      <start>74</start>
      <end>75</end>
      <status>unmodified</status>
      <modifiedWord/>
      <trackRevisions>false</trackRevisions>
    </reviewItem>
    <reviewItem>
      <errorID>874d8fcb-e702-4bbb-be01-0b4fcbc8a62d</errorID>
      <errorWord>:</errorWord>
      <group>L1_Format</group>
      <groupName>格式问题</groupName>
      <ability>L2_HalfPunc</ability>
      <abilityName>全半角检查</abilityName>
      <candidateList>
        <item>：</item>
      </candidateList>
      <explain>文本全半角错误。</explain>
      <paraID> 1E4BFF6</paraID>
      <start>46</start>
      <end>47</end>
      <status>unmodified</status>
      <modifiedWord/>
      <trackRevisions>false</trackRevisions>
    </reviewItem>
    <reviewItem>
      <errorID>6b31ef0c-6569-46a1-9de5-3451f5be3e59</errorID>
      <errorWord>,</errorWord>
      <group>L1_Format</group>
      <groupName>格式问题</groupName>
      <ability>L2_HalfPunc</ability>
      <abilityName>全半角检查</abilityName>
      <candidateList>
        <item>，</item>
      </candidateList>
      <explain>文本全半角错误。</explain>
      <paraID> 1E4BFF6</paraID>
      <start>85</start>
      <end>86</end>
      <status>unmodified</status>
      <modifiedWord/>
      <trackRevisions>false</trackRevisions>
    </reviewItem>
    <reviewItem>
      <errorID>d8af2ed7-4ef5-449b-9bad-f4789b280ab1</errorID>
      <errorWord>:</errorWord>
      <group>L1_Format</group>
      <groupName>格式问题</groupName>
      <ability>L2_HalfPunc</ability>
      <abilityName>全半角检查</abilityName>
      <candidateList>
        <item>：</item>
      </candidateList>
      <explain>文本全半角错误。</explain>
      <paraID>31B181EE</paraID>
      <start>28</start>
      <end>29</end>
      <status>unmodified</status>
      <modifiedWord/>
      <trackRevisions>false</trackRevisions>
    </reviewItem>
    <reviewItem>
      <errorID>c668853e-1e9c-48a9-97cc-4287cb7e1100</errorID>
      <errorWord>,</errorWord>
      <group>L1_Format</group>
      <groupName>格式问题</groupName>
      <ability>L2_HalfPunc</ability>
      <abilityName>全半角检查</abilityName>
      <candidateList>
        <item>，</item>
      </candidateList>
      <explain>文本全半角错误。</explain>
      <paraID>31B181EE</paraID>
      <start>67</start>
      <end>68</end>
      <status>unmodified</status>
      <modifiedWord/>
      <trackRevisions>false</trackRevisions>
    </reviewItem>
    <reviewItem>
      <errorID>e3cb5996-2282-4535-8165-e68e7aae1863</errorID>
      <errorWord>单位无</errorWord>
      <group>L1_Grammar</group>
      <groupName>语法问题</groupName>
      <ability>L2_Illogical</ability>
      <abilityName>不合逻辑</abilityName>
      <candidateList>
        <item>单位</item>
      </candidateList>
      <explain>句子中可能存在因果关系错误、自相矛盾、概念误用、主客倒置、否定不当、前后缺乏呼应等问题。</explain>
      <paraID>1D9A745E</paraID>
      <start>68</start>
      <end>71</end>
      <status>unmodified</status>
      <modifiedWord/>
      <trackRevisions>false</trackRevisions>
    </reviewItem>
    <reviewItem>
      <errorID>0515bbc5-e1c2-4928-af19-ef5e0115b865</errorID>
      <errorWord>习</errorWord>
      <group>L1_Word</group>
      <groupName>字词问题</groupName>
      <ability>L2_Typo</ability>
      <abilityName>字词错误</abilityName>
      <candidateList>
        <item>习和</item>
      </candidateList>
      <explain/>
      <paraID>5D5F32A9</paraID>
      <start>500</start>
      <end>501</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775e48-f1dc-4c90-923f-9348e07586df}">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3980</Words>
  <Characters>4627</Characters>
  <Lines>0</Lines>
  <Paragraphs>0</Paragraphs>
  <TotalTime>4</TotalTime>
  <ScaleCrop>false</ScaleCrop>
  <LinksUpToDate>false</LinksUpToDate>
  <CharactersWithSpaces>4635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2025-11-21T02:27:31Z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