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阿图什市松他克镇中心幼儿园2024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D296F3E">
      <w:r>
        <w:br w:type="page"/>
      </w:r>
    </w:p>
    <w:p w14:paraId="6C84D3CB">
      <w:pPr>
        <w:spacing w:line="640" w:lineRule="exact"/>
        <w:jc w:val="center"/>
        <w:outlineLvl w:val="1"/>
      </w:pPr>
      <w:r>
        <w:rPr>
          <w:rFonts w:ascii="黑体" w:hAnsi="黑体" w:eastAsia="黑体"/>
          <w:sz w:val="32"/>
        </w:rPr>
        <w:t>第一部分 单位概况</w:t>
      </w:r>
    </w:p>
    <w:p w14:paraId="00460A2E">
      <w:pPr>
        <w:spacing w:line="640" w:lineRule="exact"/>
        <w:ind w:firstLine="640"/>
        <w:jc w:val="both"/>
        <w:outlineLvl w:val="2"/>
      </w:pPr>
      <w:r>
        <w:rPr>
          <w:rFonts w:ascii="黑体" w:hAnsi="黑体" w:eastAsia="黑体"/>
          <w:sz w:val="32"/>
        </w:rPr>
        <w:t>一、主要职能</w:t>
      </w:r>
    </w:p>
    <w:p w14:paraId="605C9A02">
      <w:pPr>
        <w:spacing w:line="580" w:lineRule="exact"/>
        <w:ind w:firstLine="640"/>
        <w:jc w:val="both"/>
      </w:pPr>
      <w:r>
        <w:rPr>
          <w:rFonts w:ascii="仿宋_GB2312" w:hAnsi="仿宋_GB2312" w:eastAsia="仿宋_GB2312"/>
          <w:sz w:val="32"/>
        </w:rPr>
        <w:t>正确贯彻执行党和国家的教育方针、政策、法规；维护学校的教学秩序，为学生创造良好的学习环境；积极稳妥</w:t>
      </w:r>
      <w:r>
        <w:rPr>
          <w:rFonts w:hint="eastAsia" w:ascii="仿宋_GB2312" w:hAnsi="仿宋_GB2312" w:eastAsia="仿宋_GB2312"/>
          <w:sz w:val="32"/>
          <w:lang w:eastAsia="zh-CN"/>
        </w:rPr>
        <w:t>地</w:t>
      </w:r>
      <w:r>
        <w:rPr>
          <w:rFonts w:ascii="仿宋_GB2312" w:hAnsi="仿宋_GB2312" w:eastAsia="仿宋_GB2312"/>
          <w:sz w:val="32"/>
        </w:rPr>
        <w:t>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p>
    <w:p w14:paraId="4996138A">
      <w:pPr>
        <w:spacing w:line="640" w:lineRule="exact"/>
        <w:ind w:firstLine="640"/>
        <w:jc w:val="both"/>
        <w:outlineLvl w:val="2"/>
      </w:pPr>
      <w:r>
        <w:rPr>
          <w:rFonts w:ascii="黑体" w:hAnsi="黑体" w:eastAsia="黑体"/>
          <w:sz w:val="32"/>
        </w:rPr>
        <w:t>二、机构设置及人员情况</w:t>
      </w:r>
    </w:p>
    <w:p w14:paraId="7AEF84D5">
      <w:pPr>
        <w:spacing w:line="580" w:lineRule="exact"/>
        <w:ind w:firstLine="640"/>
        <w:jc w:val="both"/>
      </w:pPr>
      <w:r>
        <w:rPr>
          <w:rFonts w:ascii="仿宋_GB2312" w:hAnsi="仿宋_GB2312" w:eastAsia="仿宋_GB2312"/>
          <w:sz w:val="32"/>
        </w:rPr>
        <w:t>阿图什市松他克镇中心幼儿园2024年度，实有人数144人，其中：在职人员144人，增加5人；离休人员0人，增加0人；退休人员0人,增加0人。</w:t>
      </w:r>
    </w:p>
    <w:p w14:paraId="11B02064">
      <w:pPr>
        <w:spacing w:line="580" w:lineRule="exact"/>
        <w:ind w:firstLine="640"/>
        <w:jc w:val="both"/>
      </w:pPr>
      <w:r>
        <w:rPr>
          <w:rFonts w:ascii="仿宋_GB2312" w:hAnsi="仿宋_GB2312" w:eastAsia="仿宋_GB2312"/>
          <w:sz w:val="32"/>
        </w:rPr>
        <w:t>阿图什市松他克镇中心幼儿园无下属预算单位，下设4个科室，分别是：办公室、党建室、财务室、综合办公室。</w:t>
      </w:r>
    </w:p>
    <w:p w14:paraId="18C6C7D1">
      <w:r>
        <w:br w:type="page"/>
      </w:r>
    </w:p>
    <w:p w14:paraId="06DF740F">
      <w:pPr>
        <w:spacing w:line="240" w:lineRule="auto"/>
        <w:jc w:val="center"/>
        <w:outlineLvl w:val="1"/>
      </w:pPr>
      <w:r>
        <w:rPr>
          <w:rFonts w:ascii="黑体" w:hAnsi="黑体" w:eastAsia="黑体"/>
          <w:sz w:val="32"/>
        </w:rPr>
        <w:t>第二部分 部门决算情况说明</w:t>
      </w:r>
    </w:p>
    <w:p w14:paraId="0389F65D">
      <w:pPr>
        <w:spacing w:line="640" w:lineRule="exact"/>
        <w:ind w:firstLine="640"/>
        <w:jc w:val="both"/>
        <w:outlineLvl w:val="2"/>
      </w:pPr>
      <w:r>
        <w:rPr>
          <w:rFonts w:ascii="黑体" w:hAnsi="黑体" w:eastAsia="黑体"/>
          <w:sz w:val="32"/>
        </w:rPr>
        <w:t>一、收入支出决算总体情况说明</w:t>
      </w:r>
    </w:p>
    <w:p w14:paraId="0B0FA5C7">
      <w:pPr>
        <w:spacing w:line="580" w:lineRule="exact"/>
        <w:ind w:firstLine="640"/>
        <w:jc w:val="both"/>
      </w:pPr>
      <w:r>
        <w:rPr>
          <w:rFonts w:ascii="仿宋_GB2312" w:hAnsi="仿宋_GB2312" w:eastAsia="仿宋_GB2312"/>
          <w:b/>
          <w:sz w:val="32"/>
        </w:rPr>
        <w:t>2024年度收入总计2,443.61万元，</w:t>
      </w:r>
      <w:r>
        <w:rPr>
          <w:rFonts w:ascii="仿宋_GB2312" w:hAnsi="仿宋_GB2312" w:eastAsia="仿宋_GB2312"/>
          <w:b w:val="0"/>
          <w:sz w:val="32"/>
        </w:rPr>
        <w:t>其中：本年收入合计2,442.48万元，使用非财政拨款结余（含专用结余）0.00万元，年初结转和结余1.12万元。</w:t>
      </w:r>
    </w:p>
    <w:p w14:paraId="71138A8A">
      <w:pPr>
        <w:spacing w:line="580" w:lineRule="exact"/>
        <w:ind w:firstLine="640"/>
        <w:jc w:val="both"/>
      </w:pPr>
      <w:r>
        <w:rPr>
          <w:rFonts w:ascii="仿宋_GB2312" w:hAnsi="仿宋_GB2312" w:eastAsia="仿宋_GB2312"/>
          <w:b/>
          <w:sz w:val="32"/>
        </w:rPr>
        <w:t>2024年度支出总计2,443.61万元，</w:t>
      </w:r>
      <w:r>
        <w:rPr>
          <w:rFonts w:ascii="仿宋_GB2312" w:hAnsi="仿宋_GB2312" w:eastAsia="仿宋_GB2312"/>
          <w:b w:val="0"/>
          <w:sz w:val="32"/>
        </w:rPr>
        <w:t>其中：本年支出合计2,442.81万元，结余分配0.00万元，年末结转和结余0.79万元。</w:t>
      </w:r>
    </w:p>
    <w:p w14:paraId="3E6B6698">
      <w:pPr>
        <w:spacing w:line="580" w:lineRule="exact"/>
        <w:ind w:firstLine="640"/>
        <w:jc w:val="both"/>
      </w:pPr>
      <w:r>
        <w:rPr>
          <w:rFonts w:ascii="仿宋_GB2312" w:hAnsi="仿宋_GB2312" w:eastAsia="仿宋_GB2312"/>
          <w:b w:val="0"/>
          <w:sz w:val="32"/>
        </w:rPr>
        <w:t>收入支出总体与上年相比，增加94.19万元，增长4.01%，主要原因是：本年在职人员增加，在职人员工资调增、社保、公积金基数调增，人员经费增加。本年增加幼儿足球建设试点项目资金、学校运转经费。</w:t>
      </w:r>
    </w:p>
    <w:p w14:paraId="708E9A2F">
      <w:pPr>
        <w:spacing w:line="640" w:lineRule="exact"/>
        <w:ind w:firstLine="640"/>
        <w:jc w:val="both"/>
        <w:outlineLvl w:val="2"/>
      </w:pPr>
      <w:r>
        <w:rPr>
          <w:rFonts w:ascii="黑体" w:hAnsi="黑体" w:eastAsia="黑体"/>
          <w:sz w:val="32"/>
        </w:rPr>
        <w:t>二、收入决算情况说明</w:t>
      </w:r>
    </w:p>
    <w:p w14:paraId="7E69D78E">
      <w:pPr>
        <w:spacing w:line="580" w:lineRule="exact"/>
        <w:ind w:firstLine="640"/>
        <w:jc w:val="both"/>
      </w:pPr>
      <w:r>
        <w:rPr>
          <w:rFonts w:ascii="仿宋_GB2312" w:hAnsi="仿宋_GB2312" w:eastAsia="仿宋_GB2312"/>
          <w:b/>
          <w:sz w:val="32"/>
        </w:rPr>
        <w:t>本年收入2,442.48万元，</w:t>
      </w:r>
      <w:r>
        <w:rPr>
          <w:rFonts w:ascii="仿宋_GB2312" w:hAnsi="仿宋_GB2312" w:eastAsia="仿宋_GB2312"/>
          <w:b w:val="0"/>
          <w:sz w:val="32"/>
        </w:rPr>
        <w:t>其中：财政拨款收入2,432.20万元，占99.58%；上级补助收入0.00万元，占0.00%；事业收入0.00万元，占0.00%；经营收入0.00万元，占0.00%；附属单位上缴收入0.00万元，占0.00%；其他收入10.28万元，占0.42%。</w:t>
      </w:r>
    </w:p>
    <w:p w14:paraId="1A748D80">
      <w:pPr>
        <w:spacing w:line="640" w:lineRule="exact"/>
        <w:ind w:firstLine="640"/>
        <w:jc w:val="both"/>
        <w:outlineLvl w:val="2"/>
      </w:pPr>
      <w:r>
        <w:rPr>
          <w:rFonts w:ascii="黑体" w:hAnsi="黑体" w:eastAsia="黑体"/>
          <w:sz w:val="32"/>
        </w:rPr>
        <w:t>三、支出决算情况说明</w:t>
      </w:r>
    </w:p>
    <w:p w14:paraId="67D9C677">
      <w:pPr>
        <w:spacing w:line="580" w:lineRule="exact"/>
        <w:ind w:firstLine="640"/>
        <w:jc w:val="both"/>
      </w:pPr>
      <w:r>
        <w:rPr>
          <w:rFonts w:ascii="仿宋_GB2312" w:hAnsi="仿宋_GB2312" w:eastAsia="仿宋_GB2312"/>
          <w:b/>
          <w:sz w:val="32"/>
        </w:rPr>
        <w:t>本年支出2,442.81万元，</w:t>
      </w:r>
      <w:r>
        <w:rPr>
          <w:rFonts w:ascii="仿宋_GB2312" w:hAnsi="仿宋_GB2312" w:eastAsia="仿宋_GB2312"/>
          <w:b w:val="0"/>
          <w:sz w:val="32"/>
        </w:rPr>
        <w:t>其中：基本支出2,114.46万元，占86.56%；项目支出328.35万元，占13.44%；上缴上级支出0.00万元，占0.00%；经营支出0.00万元，占0.00%；对附属单位补助支出0.00万元，占0.00%。</w:t>
      </w:r>
    </w:p>
    <w:p w14:paraId="2EA97626">
      <w:pPr>
        <w:spacing w:line="640" w:lineRule="exact"/>
        <w:ind w:firstLine="640"/>
        <w:jc w:val="both"/>
        <w:outlineLvl w:val="2"/>
      </w:pPr>
      <w:r>
        <w:rPr>
          <w:rFonts w:ascii="黑体" w:hAnsi="黑体" w:eastAsia="黑体"/>
          <w:sz w:val="32"/>
        </w:rPr>
        <w:t>四、财政拨款收入支出决算总体情况说明</w:t>
      </w:r>
    </w:p>
    <w:p w14:paraId="3725B73C">
      <w:pPr>
        <w:spacing w:line="580" w:lineRule="exact"/>
        <w:ind w:firstLine="640"/>
        <w:jc w:val="both"/>
      </w:pPr>
      <w:r>
        <w:rPr>
          <w:rFonts w:ascii="仿宋_GB2312" w:hAnsi="仿宋_GB2312" w:eastAsia="仿宋_GB2312"/>
          <w:b/>
          <w:sz w:val="32"/>
        </w:rPr>
        <w:t>2024年度财政拨款收入总计2,432.20万元，</w:t>
      </w:r>
      <w:r>
        <w:rPr>
          <w:rFonts w:ascii="仿宋_GB2312" w:hAnsi="仿宋_GB2312" w:eastAsia="仿宋_GB2312"/>
          <w:b w:val="0"/>
          <w:sz w:val="32"/>
        </w:rPr>
        <w:t>其中：年初财政拨款结转和结余0.00万元，本年财政拨款收入2,432.20万元。</w:t>
      </w:r>
      <w:r>
        <w:rPr>
          <w:rFonts w:ascii="仿宋_GB2312" w:hAnsi="仿宋_GB2312" w:eastAsia="仿宋_GB2312"/>
          <w:b/>
          <w:sz w:val="32"/>
        </w:rPr>
        <w:t>财政拨款支出总计2,432.20万元，</w:t>
      </w:r>
      <w:r>
        <w:rPr>
          <w:rFonts w:ascii="仿宋_GB2312" w:hAnsi="仿宋_GB2312" w:eastAsia="仿宋_GB2312"/>
          <w:b w:val="0"/>
          <w:sz w:val="32"/>
        </w:rPr>
        <w:t>其中：年末财政拨款结转和结余0.00万元，本年财政拨款支出2,432.20万元。</w:t>
      </w:r>
    </w:p>
    <w:p w14:paraId="2F4EDA42">
      <w:pPr>
        <w:keepNext w:val="0"/>
        <w:keepLines w:val="0"/>
        <w:widowControl/>
        <w:suppressLineNumbers w:val="0"/>
        <w:jc w:val="left"/>
        <w:rPr>
          <w:rFonts w:hint="default" w:eastAsia="仿宋_GB2312"/>
          <w:lang w:val="en-US" w:eastAsia="zh-CN"/>
        </w:rPr>
      </w:pPr>
      <w:r>
        <w:rPr>
          <w:rFonts w:ascii="仿宋_GB2312" w:hAnsi="仿宋_GB2312" w:eastAsia="仿宋_GB2312"/>
          <w:b/>
          <w:sz w:val="32"/>
        </w:rPr>
        <w:t>财政拨款收入支出总体与上年相比，</w:t>
      </w:r>
      <w:r>
        <w:rPr>
          <w:rFonts w:ascii="仿宋_GB2312" w:hAnsi="仿宋_GB2312" w:eastAsia="仿宋_GB2312"/>
          <w:b w:val="0"/>
          <w:sz w:val="32"/>
        </w:rPr>
        <w:t>增加89.66万元，增长3.83%，主要原因是：本年在职人员增加，在职人员工资调增、社保、公积金基数调增，人员经费增加。本年增加学校运转经费。</w:t>
      </w:r>
      <w:r>
        <w:rPr>
          <w:rFonts w:ascii="仿宋_GB2312" w:hAnsi="仿宋_GB2312" w:eastAsia="仿宋_GB2312"/>
          <w:b/>
          <w:sz w:val="32"/>
        </w:rPr>
        <w:t>与年初预</w:t>
      </w:r>
      <w:r>
        <w:rPr>
          <w:rFonts w:ascii="仿宋_GB2312" w:hAnsi="仿宋_GB2312" w:eastAsia="仿宋_GB2312"/>
          <w:b w:val="0"/>
          <w:sz w:val="32"/>
        </w:rPr>
        <w:t>算相比，</w:t>
      </w:r>
      <w:r>
        <w:rPr>
          <w:rFonts w:ascii="仿宋_GB2312" w:hAnsi="仿宋_GB2312" w:eastAsia="仿宋_GB2312"/>
          <w:b w:val="0"/>
          <w:sz w:val="32"/>
        </w:rPr>
        <w:t>年初预算数2,580.03万元，决算数2,432.20万元，预决算差异率-5.73%，主要原因是：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lang w:val="en-US" w:eastAsia="zh-CN"/>
        </w:rPr>
        <w:t>学前三年教育发展保障</w:t>
      </w:r>
      <w:r>
        <w:rPr>
          <w:rFonts w:hint="eastAsia" w:ascii="仿宋_GB2312" w:hAnsi="仿宋_GB2312" w:eastAsia="仿宋_GB2312"/>
          <w:b w:val="0"/>
          <w:sz w:val="32"/>
          <w:lang w:val="en-US" w:eastAsia="zh-CN"/>
        </w:rPr>
        <w:t>经费，导致预决算存在差异。</w:t>
      </w:r>
    </w:p>
    <w:p w14:paraId="5B0C0926">
      <w:pPr>
        <w:spacing w:line="640" w:lineRule="exact"/>
        <w:ind w:firstLine="640"/>
        <w:jc w:val="both"/>
        <w:outlineLvl w:val="2"/>
      </w:pPr>
      <w:r>
        <w:rPr>
          <w:rFonts w:ascii="黑体" w:hAnsi="黑体" w:eastAsia="黑体"/>
          <w:sz w:val="32"/>
        </w:rPr>
        <w:t>五、一般公共预算财政拨款支出决算情况说明</w:t>
      </w:r>
    </w:p>
    <w:p w14:paraId="6A5D95B3">
      <w:pPr>
        <w:spacing w:line="640" w:lineRule="exact"/>
        <w:ind w:firstLine="640"/>
        <w:jc w:val="both"/>
        <w:outlineLvl w:val="3"/>
      </w:pPr>
      <w:r>
        <w:rPr>
          <w:rFonts w:ascii="楷体_GB2312" w:hAnsi="楷体_GB2312" w:eastAsia="楷体_GB2312"/>
          <w:b/>
          <w:sz w:val="32"/>
        </w:rPr>
        <w:t>（一）一般公共预算财政拨款支出决算总体情况</w:t>
      </w:r>
    </w:p>
    <w:p w14:paraId="60319320">
      <w:pPr>
        <w:spacing w:line="580" w:lineRule="exact"/>
        <w:ind w:firstLine="640"/>
        <w:jc w:val="both"/>
      </w:pPr>
      <w:r>
        <w:rPr>
          <w:rFonts w:ascii="仿宋_GB2312" w:hAnsi="仿宋_GB2312" w:eastAsia="仿宋_GB2312"/>
          <w:b/>
          <w:sz w:val="32"/>
        </w:rPr>
        <w:t>2024年度一般公共预算财政拨款支出2,432.20万元，</w:t>
      </w:r>
      <w:r>
        <w:rPr>
          <w:rFonts w:ascii="仿宋_GB2312" w:hAnsi="仿宋_GB2312" w:eastAsia="仿宋_GB2312"/>
          <w:b w:val="0"/>
          <w:sz w:val="32"/>
        </w:rPr>
        <w:t>占本年支出合计的99.57%。</w:t>
      </w:r>
      <w:r>
        <w:rPr>
          <w:rFonts w:ascii="仿宋_GB2312" w:hAnsi="仿宋_GB2312" w:eastAsia="仿宋_GB2312"/>
          <w:b/>
          <w:sz w:val="32"/>
        </w:rPr>
        <w:t>与上年相比，</w:t>
      </w:r>
      <w:r>
        <w:rPr>
          <w:rFonts w:ascii="仿宋_GB2312" w:hAnsi="仿宋_GB2312" w:eastAsia="仿宋_GB2312"/>
          <w:b w:val="0"/>
          <w:sz w:val="32"/>
        </w:rPr>
        <w:t>增加89.66万元，增长3.83%，主要原因是：本年在职人员增加，在职人员工资调增、社保、公积金基数调增，人员经费增加。本年增加学校运转经费。</w:t>
      </w:r>
      <w:r>
        <w:rPr>
          <w:rFonts w:ascii="仿宋_GB2312" w:hAnsi="仿宋_GB2312" w:eastAsia="仿宋_GB2312"/>
          <w:b/>
          <w:sz w:val="32"/>
        </w:rPr>
        <w:t>与年初预算相比,</w:t>
      </w:r>
      <w:r>
        <w:rPr>
          <w:rFonts w:ascii="仿宋_GB2312" w:hAnsi="仿宋_GB2312" w:eastAsia="仿宋_GB2312"/>
          <w:b w:val="0"/>
          <w:sz w:val="32"/>
        </w:rPr>
        <w:t>年初预算数2,580.03万元，决算数2,432.20万元，预决算差异率-5.73%，主要原因是：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lang w:val="en-US" w:eastAsia="zh-CN"/>
        </w:rPr>
        <w:t>学前三年教育发展保障</w:t>
      </w:r>
      <w:r>
        <w:rPr>
          <w:rFonts w:hint="eastAsia" w:ascii="仿宋_GB2312" w:hAnsi="仿宋_GB2312" w:eastAsia="仿宋_GB2312"/>
          <w:b w:val="0"/>
          <w:sz w:val="32"/>
          <w:lang w:val="en-US" w:eastAsia="zh-CN"/>
        </w:rPr>
        <w:t>经费，导致预决算存在差异</w:t>
      </w:r>
      <w:r>
        <w:rPr>
          <w:rFonts w:ascii="仿宋_GB2312" w:hAnsi="仿宋_GB2312" w:eastAsia="仿宋_GB2312"/>
          <w:b w:val="0"/>
          <w:sz w:val="32"/>
        </w:rPr>
        <w:t>。</w:t>
      </w:r>
    </w:p>
    <w:p w14:paraId="5E7E4902">
      <w:pPr>
        <w:spacing w:line="640" w:lineRule="exact"/>
        <w:ind w:firstLine="640"/>
        <w:jc w:val="both"/>
        <w:outlineLvl w:val="3"/>
      </w:pPr>
      <w:r>
        <w:rPr>
          <w:rFonts w:ascii="楷体_GB2312" w:hAnsi="楷体_GB2312" w:eastAsia="楷体_GB2312"/>
          <w:b/>
          <w:sz w:val="32"/>
        </w:rPr>
        <w:t>（二）一般公共预算财政拨款支出决算结构情况</w:t>
      </w:r>
    </w:p>
    <w:p w14:paraId="3260DE27">
      <w:pPr>
        <w:spacing w:line="580" w:lineRule="exact"/>
        <w:ind w:firstLine="640"/>
        <w:jc w:val="both"/>
      </w:pPr>
      <w:r>
        <w:rPr>
          <w:rFonts w:ascii="仿宋_GB2312" w:hAnsi="仿宋_GB2312" w:eastAsia="仿宋_GB2312"/>
          <w:b w:val="0"/>
          <w:sz w:val="32"/>
        </w:rPr>
        <w:t>1.教育支出(类)2,403.19万元,占98.81%。</w:t>
      </w:r>
    </w:p>
    <w:p w14:paraId="28B5DB52">
      <w:pPr>
        <w:spacing w:line="580" w:lineRule="exact"/>
        <w:ind w:firstLine="640"/>
        <w:jc w:val="both"/>
      </w:pPr>
      <w:r>
        <w:rPr>
          <w:rFonts w:ascii="仿宋_GB2312" w:hAnsi="仿宋_GB2312" w:eastAsia="仿宋_GB2312"/>
          <w:b w:val="0"/>
          <w:sz w:val="32"/>
        </w:rPr>
        <w:t>2.住房保障支出(类)29.02万元,占1.19%。</w:t>
      </w:r>
    </w:p>
    <w:p w14:paraId="1E64F880">
      <w:pPr>
        <w:spacing w:line="640" w:lineRule="exact"/>
        <w:ind w:firstLine="640"/>
        <w:jc w:val="both"/>
        <w:outlineLvl w:val="3"/>
      </w:pPr>
      <w:r>
        <w:rPr>
          <w:rFonts w:ascii="楷体_GB2312" w:hAnsi="楷体_GB2312" w:eastAsia="楷体_GB2312"/>
          <w:b/>
          <w:sz w:val="32"/>
        </w:rPr>
        <w:t>（三）一般公共预算财政拨款支出决算具体情况</w:t>
      </w:r>
    </w:p>
    <w:p w14:paraId="6022B0D4">
      <w:pPr>
        <w:spacing w:line="580" w:lineRule="exact"/>
        <w:ind w:firstLine="640"/>
        <w:jc w:val="both"/>
      </w:pPr>
      <w:r>
        <w:rPr>
          <w:rFonts w:ascii="仿宋_GB2312" w:hAnsi="仿宋_GB2312" w:eastAsia="仿宋_GB2312"/>
          <w:b w:val="0"/>
          <w:sz w:val="32"/>
        </w:rPr>
        <w:t>1.教育支出(类)普通教育(款)学前教育(项):支出决算数为2,397.12万元，比上年决算增加352.32万元，增长17.23%,主要原因是：本年功能科目调整，养老保险、住房公积金上年度单独列支，本年调整至主科目列支，导致经费较上年增加。上年1、3、7月份乡村教师生活补助在小学教育款项填列，本年在学前教育款项中填列，导致经费较上年增加。</w:t>
      </w:r>
    </w:p>
    <w:p w14:paraId="63DDCCC0">
      <w:pPr>
        <w:spacing w:line="580" w:lineRule="exact"/>
        <w:ind w:firstLine="640"/>
        <w:jc w:val="both"/>
      </w:pPr>
      <w:r>
        <w:rPr>
          <w:rFonts w:ascii="仿宋_GB2312" w:hAnsi="仿宋_GB2312" w:eastAsia="仿宋_GB2312"/>
          <w:b w:val="0"/>
          <w:sz w:val="32"/>
        </w:rPr>
        <w:t>2.教育支出(类)普通教育(款)小学教育(项):支出决算数为0.00万元，比上年决算减少2.62万元，下降100.00%,主要原因是：上年1、3、7月份乡村教师生活补助在小学教育款项填列，本年在学前教育款项中填列，导致此科目无支出。</w:t>
      </w:r>
    </w:p>
    <w:p w14:paraId="0A0D8BFB">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3.教育支出(类)教育费附加安排的支出(款)其他教育费附加安排的支出(项):支出决算数为6.07万元，比上年决算增加6.07万元，增长100.00%,主要原因是：本年增加学校运转经费，增加取暖费支出。</w:t>
      </w:r>
    </w:p>
    <w:p w14:paraId="01E4BFF6">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0.00万元，比上年决算减少159.02万元，下降100.00%,主要原因是：本年功能科目调整，养老保险缴费上年度单独列支，本年调整至主科目列支，导致经费较上年减少。</w:t>
      </w:r>
    </w:p>
    <w:p w14:paraId="31B181EE">
      <w:pPr>
        <w:spacing w:line="580" w:lineRule="exact"/>
        <w:ind w:firstLine="640"/>
        <w:jc w:val="both"/>
      </w:pPr>
      <w:r>
        <w:rPr>
          <w:rFonts w:ascii="仿宋_GB2312" w:hAnsi="仿宋_GB2312" w:eastAsia="仿宋_GB2312"/>
          <w:b w:val="0"/>
          <w:sz w:val="32"/>
        </w:rPr>
        <w:t>5.住房保障支出(类)住房改革支出(款)住房公积金(项):支出决算数为29.02万元，比上年决算减少107.08万元，下降78.68%,主要原因是：本年功能科目调整，住房公积金上年度单独列支，本年调整至主科目列支，导致经费较上年减少。</w:t>
      </w:r>
    </w:p>
    <w:p w14:paraId="41F9BC22">
      <w:pPr>
        <w:spacing w:line="640" w:lineRule="exact"/>
        <w:ind w:firstLine="640"/>
        <w:jc w:val="both"/>
        <w:outlineLvl w:val="2"/>
      </w:pPr>
      <w:r>
        <w:rPr>
          <w:rFonts w:ascii="黑体" w:hAnsi="黑体" w:eastAsia="黑体"/>
          <w:sz w:val="32"/>
        </w:rPr>
        <w:t>六、一般公共预算财政拨款基本支出决算情况说明</w:t>
      </w:r>
    </w:p>
    <w:p w14:paraId="12A32B1C">
      <w:pPr>
        <w:spacing w:line="580" w:lineRule="exact"/>
        <w:ind w:firstLine="640"/>
        <w:jc w:val="both"/>
      </w:pPr>
      <w:r>
        <w:rPr>
          <w:rFonts w:ascii="仿宋_GB2312" w:hAnsi="仿宋_GB2312" w:eastAsia="仿宋_GB2312"/>
          <w:b w:val="0"/>
          <w:sz w:val="32"/>
        </w:rPr>
        <w:t>2024年度一般公共预算财政拨款基本支出2,114.46万元，其中：</w:t>
      </w:r>
      <w:r>
        <w:rPr>
          <w:rFonts w:ascii="仿宋_GB2312" w:hAnsi="仿宋_GB2312" w:eastAsia="仿宋_GB2312"/>
          <w:b/>
          <w:sz w:val="32"/>
        </w:rPr>
        <w:t>人员经费2,114.46万元，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378F040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F2FFCB5">
      <w:pPr>
        <w:spacing w:line="640" w:lineRule="exact"/>
        <w:ind w:firstLine="640"/>
        <w:jc w:val="both"/>
        <w:outlineLvl w:val="2"/>
      </w:pPr>
      <w:r>
        <w:rPr>
          <w:rFonts w:ascii="黑体" w:hAnsi="黑体" w:eastAsia="黑体"/>
          <w:sz w:val="32"/>
        </w:rPr>
        <w:t>七、政府性基金预算财政拨款收入支出决算情况说明</w:t>
      </w:r>
    </w:p>
    <w:p w14:paraId="45317CC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94F6EC9">
      <w:pPr>
        <w:spacing w:line="640" w:lineRule="exact"/>
        <w:ind w:firstLine="640"/>
        <w:jc w:val="both"/>
        <w:outlineLvl w:val="2"/>
      </w:pPr>
      <w:r>
        <w:rPr>
          <w:rFonts w:ascii="黑体" w:hAnsi="黑体" w:eastAsia="黑体"/>
          <w:sz w:val="32"/>
        </w:rPr>
        <w:t>八、国有资本经营预算财政拨款收入支出决算情况说明</w:t>
      </w:r>
    </w:p>
    <w:p w14:paraId="04A2855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910C814">
      <w:pPr>
        <w:spacing w:line="640" w:lineRule="exact"/>
        <w:ind w:firstLine="640"/>
        <w:jc w:val="both"/>
        <w:outlineLvl w:val="2"/>
      </w:pPr>
      <w:r>
        <w:rPr>
          <w:rFonts w:ascii="黑体" w:hAnsi="黑体" w:eastAsia="黑体"/>
          <w:sz w:val="32"/>
        </w:rPr>
        <w:t>九、财政拨款“三公”经费支出决算情况说明</w:t>
      </w:r>
    </w:p>
    <w:p w14:paraId="62A28B7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219FF35">
      <w:pPr>
        <w:spacing w:line="580" w:lineRule="exact"/>
        <w:ind w:firstLine="640"/>
        <w:jc w:val="both"/>
      </w:pPr>
      <w:r>
        <w:rPr>
          <w:rFonts w:ascii="仿宋_GB2312" w:hAnsi="仿宋_GB2312" w:eastAsia="仿宋_GB2312"/>
          <w:b/>
          <w:sz w:val="32"/>
        </w:rPr>
        <w:t>具体情况如下：</w:t>
      </w:r>
    </w:p>
    <w:p w14:paraId="091FD6F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D9A745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0D83FB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6CB218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741CD9A">
      <w:pPr>
        <w:spacing w:line="640" w:lineRule="exact"/>
        <w:ind w:firstLine="640"/>
        <w:jc w:val="both"/>
        <w:outlineLvl w:val="2"/>
      </w:pPr>
      <w:r>
        <w:rPr>
          <w:rFonts w:ascii="黑体" w:hAnsi="黑体" w:eastAsia="黑体"/>
          <w:sz w:val="32"/>
        </w:rPr>
        <w:t>十、其他重要事项的情况说明</w:t>
      </w:r>
    </w:p>
    <w:p w14:paraId="3FF20248">
      <w:pPr>
        <w:spacing w:line="640" w:lineRule="exact"/>
        <w:ind w:firstLine="640"/>
        <w:jc w:val="both"/>
        <w:outlineLvl w:val="3"/>
      </w:pPr>
      <w:r>
        <w:rPr>
          <w:rFonts w:ascii="楷体_GB2312" w:hAnsi="楷体_GB2312" w:eastAsia="楷体_GB2312"/>
          <w:b/>
          <w:sz w:val="32"/>
        </w:rPr>
        <w:t>（一）机关运行经费及公用经费支出情况</w:t>
      </w:r>
    </w:p>
    <w:p w14:paraId="1FE7D100">
      <w:pPr>
        <w:spacing w:line="580" w:lineRule="exact"/>
        <w:ind w:firstLine="640"/>
        <w:jc w:val="both"/>
      </w:pPr>
      <w:r>
        <w:rPr>
          <w:rFonts w:ascii="仿宋_GB2312" w:hAnsi="仿宋_GB2312" w:eastAsia="仿宋_GB2312"/>
          <w:b w:val="0"/>
          <w:sz w:val="32"/>
        </w:rPr>
        <w:t>2024年度阿图什市松他克镇中心幼儿园（事业单位）公用经费支出0.00万元，比上年减少2.87万元，下降100.00%，主要原因是：本年减少取暖费、办公费、办公设备购置费，导致公用经费减少。</w:t>
      </w:r>
    </w:p>
    <w:p w14:paraId="06082BC7">
      <w:pPr>
        <w:spacing w:line="640" w:lineRule="exact"/>
        <w:ind w:firstLine="640"/>
        <w:jc w:val="both"/>
        <w:outlineLvl w:val="3"/>
      </w:pPr>
      <w:r>
        <w:rPr>
          <w:rFonts w:ascii="楷体_GB2312" w:hAnsi="楷体_GB2312" w:eastAsia="楷体_GB2312"/>
          <w:b/>
          <w:sz w:val="32"/>
        </w:rPr>
        <w:t>（二）政府采购情况</w:t>
      </w:r>
    </w:p>
    <w:p w14:paraId="181739FB">
      <w:pPr>
        <w:spacing w:line="580" w:lineRule="exact"/>
        <w:ind w:firstLine="640"/>
        <w:jc w:val="both"/>
      </w:pPr>
      <w:r>
        <w:rPr>
          <w:rFonts w:ascii="仿宋_GB2312" w:hAnsi="仿宋_GB2312" w:eastAsia="仿宋_GB2312"/>
          <w:b w:val="0"/>
          <w:sz w:val="32"/>
        </w:rPr>
        <w:t>2024年度政府采购支出总额93.48万元，其中：政府采购货物支出63.53万元、政府采购工程支出11.90万元、政府采购服务支出18.04万元。</w:t>
      </w:r>
    </w:p>
    <w:p w14:paraId="7FFB5E78">
      <w:pPr>
        <w:spacing w:line="580" w:lineRule="exact"/>
        <w:ind w:firstLine="640"/>
        <w:jc w:val="both"/>
      </w:pPr>
      <w:r>
        <w:rPr>
          <w:rFonts w:ascii="仿宋_GB2312" w:hAnsi="仿宋_GB2312" w:eastAsia="仿宋_GB2312"/>
          <w:b w:val="0"/>
          <w:sz w:val="32"/>
        </w:rPr>
        <w:t>授予中小企业合同金额90.68万元，占政府采购支出总额的97.01%，其中：授予小微企业合同金额82.59万元，占政府采购支出总额的88.35%。</w:t>
      </w:r>
    </w:p>
    <w:p w14:paraId="666EAFE6">
      <w:pPr>
        <w:spacing w:line="640" w:lineRule="exact"/>
        <w:ind w:firstLine="640"/>
        <w:jc w:val="both"/>
        <w:outlineLvl w:val="3"/>
      </w:pPr>
      <w:r>
        <w:rPr>
          <w:rFonts w:ascii="楷体_GB2312" w:hAnsi="楷体_GB2312" w:eastAsia="楷体_GB2312"/>
          <w:b/>
          <w:sz w:val="32"/>
        </w:rPr>
        <w:t>（三）国有资产占用情况说明</w:t>
      </w:r>
    </w:p>
    <w:p w14:paraId="071D8707">
      <w:pPr>
        <w:spacing w:line="580" w:lineRule="exact"/>
        <w:ind w:firstLine="640"/>
        <w:jc w:val="both"/>
      </w:pPr>
      <w:r>
        <w:rPr>
          <w:rFonts w:ascii="仿宋_GB2312" w:hAnsi="仿宋_GB2312" w:eastAsia="仿宋_GB2312"/>
          <w:b w:val="0"/>
          <w:sz w:val="32"/>
        </w:rPr>
        <w:t>截至2024年12月31日，房屋3,445.95平方米，价值728.60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9981FCE">
      <w:pPr>
        <w:spacing w:line="640" w:lineRule="exact"/>
        <w:ind w:firstLine="640"/>
        <w:jc w:val="both"/>
        <w:outlineLvl w:val="2"/>
      </w:pPr>
      <w:r>
        <w:rPr>
          <w:rFonts w:ascii="黑体" w:hAnsi="黑体" w:eastAsia="黑体"/>
          <w:sz w:val="32"/>
        </w:rPr>
        <w:t>十一、预算绩效的情况说明</w:t>
      </w:r>
    </w:p>
    <w:p w14:paraId="5E3E493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2,443.61万元，实际执行总额2,442.81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14:paraId="13B41B6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985A968">
        <w:tblPrEx>
          <w:tblCellMar>
            <w:top w:w="0" w:type="dxa"/>
            <w:left w:w="108" w:type="dxa"/>
            <w:bottom w:w="0" w:type="dxa"/>
            <w:right w:w="108" w:type="dxa"/>
          </w:tblCellMar>
        </w:tblPrEx>
        <w:tc>
          <w:tcPr>
            <w:tcW w:w="8840" w:type="dxa"/>
            <w:gridSpan w:val="8"/>
            <w:vAlign w:val="center"/>
          </w:tcPr>
          <w:p w14:paraId="629C31AC">
            <w:pPr>
              <w:jc w:val="center"/>
            </w:pPr>
            <w:r>
              <w:rPr>
                <w:rFonts w:ascii="宋体" w:hAnsi="宋体" w:eastAsia="宋体"/>
                <w:sz w:val="24"/>
              </w:rPr>
              <w:t>单位整体支出绩效自评表</w:t>
            </w:r>
          </w:p>
        </w:tc>
      </w:tr>
      <w:tr w14:paraId="652F520C">
        <w:tblPrEx>
          <w:tblCellMar>
            <w:top w:w="0" w:type="dxa"/>
            <w:left w:w="108" w:type="dxa"/>
            <w:bottom w:w="0" w:type="dxa"/>
            <w:right w:w="108" w:type="dxa"/>
          </w:tblCellMar>
        </w:tblPrEx>
        <w:tc>
          <w:tcPr>
            <w:tcW w:w="8840" w:type="dxa"/>
            <w:gridSpan w:val="8"/>
            <w:vAlign w:val="center"/>
          </w:tcPr>
          <w:p w14:paraId="4359D8EA">
            <w:pPr>
              <w:jc w:val="center"/>
            </w:pPr>
            <w:r>
              <w:rPr>
                <w:rFonts w:ascii="宋体" w:hAnsi="宋体" w:eastAsia="宋体"/>
                <w:sz w:val="24"/>
              </w:rPr>
              <w:t>（2024年度）</w:t>
            </w:r>
          </w:p>
        </w:tc>
      </w:tr>
      <w:tr w14:paraId="302A84B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242B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37EB84">
            <w:pPr>
              <w:jc w:val="center"/>
            </w:pPr>
            <w:r>
              <w:rPr>
                <w:rFonts w:ascii="宋体" w:hAnsi="宋体" w:eastAsia="宋体"/>
                <w:sz w:val="16"/>
              </w:rPr>
              <w:t>阿图什市松他克镇中心幼儿园</w:t>
            </w:r>
          </w:p>
        </w:tc>
      </w:tr>
      <w:tr w14:paraId="47FE44F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1779C">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C423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9603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C497E">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CCAF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FEA8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0393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55976">
            <w:pPr>
              <w:jc w:val="center"/>
            </w:pPr>
            <w:r>
              <w:rPr>
                <w:rFonts w:ascii="宋体" w:hAnsi="宋体" w:eastAsia="宋体"/>
                <w:sz w:val="16"/>
              </w:rPr>
              <w:t>得分</w:t>
            </w:r>
          </w:p>
        </w:tc>
      </w:tr>
      <w:tr w14:paraId="543A76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BA32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3935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6B3E4">
            <w:pPr>
              <w:jc w:val="center"/>
            </w:pPr>
            <w:r>
              <w:rPr>
                <w:rFonts w:ascii="宋体" w:hAnsi="宋体" w:eastAsia="宋体"/>
                <w:sz w:val="16"/>
              </w:rPr>
              <w:t>2,194.41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4203F">
            <w:pPr>
              <w:jc w:val="center"/>
            </w:pPr>
            <w:r>
              <w:rPr>
                <w:rFonts w:ascii="宋体" w:hAnsi="宋体" w:eastAsia="宋体"/>
                <w:sz w:val="16"/>
              </w:rPr>
              <w:t>2,443.61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47FBD">
            <w:pPr>
              <w:jc w:val="center"/>
            </w:pPr>
            <w:r>
              <w:rPr>
                <w:rFonts w:ascii="宋体" w:hAnsi="宋体" w:eastAsia="宋体"/>
                <w:sz w:val="16"/>
              </w:rPr>
              <w:t>2,442.81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AF3E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FCAB7">
            <w:pPr>
              <w:jc w:val="center"/>
            </w:pPr>
            <w:r>
              <w:rPr>
                <w:rFonts w:ascii="宋体" w:hAnsi="宋体" w:eastAsia="宋体"/>
                <w:sz w:val="16"/>
              </w:rPr>
              <w:t>99.97%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8D8C6">
            <w:pPr>
              <w:jc w:val="center"/>
            </w:pPr>
            <w:r>
              <w:rPr>
                <w:rFonts w:hint="eastAsia" w:ascii="宋体" w:hAnsi="宋体" w:eastAsia="宋体"/>
                <w:sz w:val="16"/>
              </w:rPr>
              <w:t>9.99</w:t>
            </w:r>
          </w:p>
        </w:tc>
      </w:tr>
      <w:tr w14:paraId="2A3D02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6B6F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7F995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1F56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8298E">
            <w:pPr>
              <w:jc w:val="center"/>
            </w:pPr>
            <w:r>
              <w:rPr>
                <w:rFonts w:ascii="宋体" w:hAnsi="宋体" w:eastAsia="宋体"/>
                <w:sz w:val="16"/>
              </w:rPr>
              <w:t>311.68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3EB8A">
            <w:pPr>
              <w:jc w:val="center"/>
            </w:pPr>
            <w:r>
              <w:rPr>
                <w:rFonts w:ascii="宋体" w:hAnsi="宋体" w:eastAsia="宋体"/>
                <w:sz w:val="16"/>
              </w:rPr>
              <w:t>311.68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24BF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FB24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E0B4C">
            <w:pPr>
              <w:jc w:val="center"/>
            </w:pPr>
            <w:r>
              <w:rPr>
                <w:rFonts w:ascii="宋体" w:hAnsi="宋体" w:eastAsia="宋体"/>
                <w:sz w:val="16"/>
              </w:rPr>
              <w:t>—</w:t>
            </w:r>
          </w:p>
        </w:tc>
      </w:tr>
      <w:tr w14:paraId="20A2D2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2FB9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8512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8D8A1">
            <w:pPr>
              <w:jc w:val="center"/>
            </w:pPr>
            <w:r>
              <w:rPr>
                <w:rFonts w:ascii="宋体" w:hAnsi="宋体" w:eastAsia="宋体"/>
                <w:sz w:val="16"/>
              </w:rPr>
              <w:t>2,194.41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FA452">
            <w:pPr>
              <w:jc w:val="center"/>
            </w:pPr>
            <w:r>
              <w:rPr>
                <w:rFonts w:ascii="宋体" w:hAnsi="宋体" w:eastAsia="宋体"/>
                <w:sz w:val="16"/>
              </w:rPr>
              <w:t>2,131.93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3E00F">
            <w:pPr>
              <w:jc w:val="center"/>
            </w:pPr>
            <w:r>
              <w:rPr>
                <w:rFonts w:ascii="宋体" w:hAnsi="宋体" w:eastAsia="宋体"/>
                <w:sz w:val="16"/>
              </w:rPr>
              <w:t>2,131.13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426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1A5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1DD16">
            <w:pPr>
              <w:jc w:val="center"/>
            </w:pPr>
            <w:r>
              <w:rPr>
                <w:rFonts w:ascii="宋体" w:hAnsi="宋体" w:eastAsia="宋体"/>
                <w:sz w:val="16"/>
              </w:rPr>
              <w:t>—</w:t>
            </w:r>
          </w:p>
        </w:tc>
      </w:tr>
      <w:tr w14:paraId="6A4CE8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7ADB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0375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8374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E3E4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D0F4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3556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5F46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51A07">
            <w:pPr>
              <w:jc w:val="center"/>
            </w:pPr>
            <w:r>
              <w:rPr>
                <w:rFonts w:ascii="宋体" w:hAnsi="宋体" w:eastAsia="宋体"/>
                <w:sz w:val="16"/>
              </w:rPr>
              <w:t>—</w:t>
            </w:r>
          </w:p>
        </w:tc>
      </w:tr>
      <w:tr w14:paraId="3062F7A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2CED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CBB7B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8FE90A">
            <w:pPr>
              <w:jc w:val="center"/>
            </w:pPr>
            <w:r>
              <w:rPr>
                <w:rFonts w:ascii="宋体" w:hAnsi="宋体" w:eastAsia="宋体"/>
                <w:sz w:val="16"/>
              </w:rPr>
              <w:t>实际完成情况</w:t>
            </w:r>
          </w:p>
        </w:tc>
      </w:tr>
      <w:tr w14:paraId="277B3D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6224E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5F32A9">
            <w:pPr>
              <w:jc w:val="both"/>
            </w:pPr>
            <w:r>
              <w:rPr>
                <w:rFonts w:ascii="宋体" w:hAnsi="宋体" w:eastAsia="宋体"/>
                <w:sz w:val="16"/>
              </w:rPr>
              <w:t>单位基本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机构设置及人员配置：无下属预算单位，下设4个科室，编制数163，实有人数147人，在职147人，退休0人。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项工作，使教研教改共同代全校基础工作蓬勃发展。 </w:t>
            </w:r>
            <w:r>
              <w:rPr>
                <w:rFonts w:ascii="宋体" w:hAnsi="宋体" w:eastAsia="宋体"/>
                <w:sz w:val="16"/>
              </w:rPr>
              <w:br w:type="textWrapping"/>
            </w:r>
            <w:r>
              <w:rPr>
                <w:rFonts w:ascii="宋体" w:hAnsi="宋体" w:eastAsia="宋体"/>
                <w:sz w:val="16"/>
              </w:rPr>
              <w:t xml:space="preserve">  保障单位在职147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4DA939">
            <w:pPr>
              <w:jc w:val="both"/>
            </w:pPr>
            <w:r>
              <w:rPr>
                <w:rFonts w:ascii="宋体" w:hAnsi="宋体" w:eastAsia="宋体"/>
                <w:sz w:val="16"/>
              </w:rPr>
              <w:t xml:space="preserve">本单位共计支出2442.81万元，用于保障部门在职147人，退休0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法制教育课和安全知识讲座10场，教师培训人数85人，保障单位正常运转期限12个月等目标。 </w:t>
            </w:r>
          </w:p>
        </w:tc>
      </w:tr>
      <w:tr w14:paraId="35CE4F1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03E0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54DB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FD73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CEBA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115A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2157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745B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B3BCF">
            <w:pPr>
              <w:jc w:val="center"/>
            </w:pPr>
            <w:r>
              <w:rPr>
                <w:rFonts w:ascii="宋体" w:hAnsi="宋体" w:eastAsia="宋体"/>
                <w:sz w:val="16"/>
              </w:rPr>
              <w:t>得分</w:t>
            </w:r>
          </w:p>
        </w:tc>
      </w:tr>
      <w:tr w14:paraId="65BAB70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B4508">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7492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6B2FB">
            <w:pPr>
              <w:jc w:val="center"/>
            </w:pPr>
            <w:r>
              <w:rPr>
                <w:rFonts w:ascii="宋体" w:hAnsi="宋体" w:eastAsia="宋体"/>
                <w:sz w:val="16"/>
              </w:rPr>
              <w:t>法制教育课和交通安全知识讲座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455D9">
            <w:pPr>
              <w:jc w:val="center"/>
            </w:pPr>
            <w:r>
              <w:rPr>
                <w:rFonts w:ascii="宋体" w:hAnsi="宋体" w:eastAsia="宋体"/>
                <w:sz w:val="16"/>
              </w:rPr>
              <w:t>&gt;=10场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A48F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2D8B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2D0B3">
            <w:pPr>
              <w:jc w:val="center"/>
            </w:pPr>
            <w:r>
              <w:rPr>
                <w:rFonts w:ascii="宋体" w:hAnsi="宋体" w:eastAsia="宋体"/>
                <w:sz w:val="16"/>
              </w:rPr>
              <w:t>10场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AA9A5">
            <w:pPr>
              <w:jc w:val="center"/>
            </w:pPr>
            <w:r>
              <w:rPr>
                <w:rFonts w:ascii="宋体" w:hAnsi="宋体" w:eastAsia="宋体"/>
                <w:sz w:val="16"/>
              </w:rPr>
              <w:t>18</w:t>
            </w:r>
          </w:p>
        </w:tc>
      </w:tr>
      <w:tr w14:paraId="68EF723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8A402">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59EB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7FF1C">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30074">
            <w:pPr>
              <w:jc w:val="center"/>
            </w:pPr>
            <w:r>
              <w:rPr>
                <w:rFonts w:ascii="宋体" w:hAnsi="宋体" w:eastAsia="宋体"/>
                <w:sz w:val="16"/>
              </w:rPr>
              <w:t>&gt;=85人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22BA2">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A4A1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29C65">
            <w:pPr>
              <w:jc w:val="center"/>
            </w:pPr>
            <w:r>
              <w:rPr>
                <w:rFonts w:ascii="宋体" w:hAnsi="宋体" w:eastAsia="宋体"/>
                <w:sz w:val="16"/>
              </w:rPr>
              <w:t>85人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092E8">
            <w:pPr>
              <w:jc w:val="center"/>
            </w:pPr>
            <w:r>
              <w:rPr>
                <w:rFonts w:ascii="宋体" w:hAnsi="宋体" w:eastAsia="宋体"/>
                <w:sz w:val="16"/>
              </w:rPr>
              <w:t>18</w:t>
            </w:r>
          </w:p>
        </w:tc>
      </w:tr>
      <w:tr w14:paraId="319088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8E14F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61DC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901C2">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05087">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77A5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F007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F85C3">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69047">
            <w:pPr>
              <w:jc w:val="center"/>
            </w:pPr>
            <w:r>
              <w:rPr>
                <w:rFonts w:ascii="宋体" w:hAnsi="宋体" w:eastAsia="宋体"/>
                <w:sz w:val="16"/>
              </w:rPr>
              <w:t>18</w:t>
            </w:r>
          </w:p>
        </w:tc>
      </w:tr>
      <w:tr w14:paraId="4E72E6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80D0A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4FD1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3E3DD">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B497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28F2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27B0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B5AD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18C3A">
            <w:pPr>
              <w:jc w:val="center"/>
            </w:pPr>
            <w:r>
              <w:rPr>
                <w:rFonts w:ascii="宋体" w:hAnsi="宋体" w:eastAsia="宋体"/>
                <w:sz w:val="16"/>
              </w:rPr>
              <w:t>18</w:t>
            </w:r>
          </w:p>
        </w:tc>
      </w:tr>
      <w:tr w14:paraId="0D804A9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52A7C3">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2E657">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133D5">
            <w:pPr>
              <w:jc w:val="center"/>
            </w:pPr>
            <w:r>
              <w:rPr>
                <w:rFonts w:ascii="宋体" w:hAnsi="宋体" w:eastAsia="宋体"/>
                <w:sz w:val="16"/>
              </w:rPr>
              <w:t>学前教育巩固率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98A1C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4C5C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F759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ACEC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FDE6A">
            <w:pPr>
              <w:jc w:val="center"/>
            </w:pPr>
            <w:r>
              <w:rPr>
                <w:rFonts w:ascii="宋体" w:hAnsi="宋体" w:eastAsia="宋体"/>
                <w:sz w:val="16"/>
              </w:rPr>
              <w:t>18</w:t>
            </w:r>
          </w:p>
        </w:tc>
      </w:tr>
    </w:tbl>
    <w:p w14:paraId="3E2D9440">
      <w:r>
        <w:br w:type="page"/>
      </w:r>
    </w:p>
    <w:p w14:paraId="15799CC7">
      <w:pPr>
        <w:spacing w:line="640" w:lineRule="exact"/>
        <w:ind w:firstLine="640"/>
        <w:jc w:val="both"/>
        <w:outlineLvl w:val="2"/>
      </w:pPr>
      <w:r>
        <w:rPr>
          <w:rFonts w:ascii="黑体" w:hAnsi="黑体" w:eastAsia="黑体"/>
          <w:sz w:val="32"/>
        </w:rPr>
        <w:t>十二、其他需说明的事项</w:t>
      </w:r>
    </w:p>
    <w:p w14:paraId="6193497F">
      <w:pPr>
        <w:spacing w:line="580" w:lineRule="exact"/>
        <w:ind w:firstLine="640"/>
        <w:jc w:val="both"/>
      </w:pPr>
      <w:r>
        <w:rPr>
          <w:rFonts w:ascii="仿宋_GB2312" w:hAnsi="仿宋_GB2312" w:eastAsia="仿宋_GB2312"/>
          <w:b w:val="0"/>
          <w:sz w:val="32"/>
        </w:rPr>
        <w:t>本单位无其他需说明的事项。</w:t>
      </w:r>
    </w:p>
    <w:p w14:paraId="3153A28F">
      <w:r>
        <w:br w:type="page"/>
      </w:r>
      <w:bookmarkStart w:id="0" w:name="_GoBack"/>
      <w:bookmarkEnd w:id="0"/>
    </w:p>
    <w:p w14:paraId="6111643D">
      <w:pPr>
        <w:spacing w:line="240" w:lineRule="auto"/>
        <w:jc w:val="center"/>
        <w:outlineLvl w:val="1"/>
      </w:pPr>
      <w:r>
        <w:rPr>
          <w:rFonts w:ascii="黑体" w:hAnsi="黑体" w:eastAsia="黑体"/>
          <w:sz w:val="32"/>
        </w:rPr>
        <w:t>第三部分 专业名词解释</w:t>
      </w:r>
    </w:p>
    <w:p w14:paraId="58279C3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B24CEC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765DEE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A1D19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1755D5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B2BA5C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34A5B9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ADCD9B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9D260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89B152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114BBB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DE9CF9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FF59AF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615BD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F2FF74">
      <w:r>
        <w:br w:type="page"/>
      </w:r>
    </w:p>
    <w:p w14:paraId="02851DDE">
      <w:pPr>
        <w:spacing w:line="240" w:lineRule="auto"/>
        <w:jc w:val="center"/>
        <w:outlineLvl w:val="1"/>
      </w:pPr>
      <w:r>
        <w:rPr>
          <w:rFonts w:ascii="黑体" w:hAnsi="黑体" w:eastAsia="黑体"/>
          <w:sz w:val="32"/>
        </w:rPr>
        <w:t>第四部分 部门决算报表（见附表）</w:t>
      </w:r>
    </w:p>
    <w:p w14:paraId="3009F76F">
      <w:pPr>
        <w:spacing w:line="240" w:lineRule="auto"/>
        <w:ind w:firstLine="640"/>
        <w:jc w:val="both"/>
      </w:pPr>
      <w:r>
        <w:rPr>
          <w:rFonts w:ascii="仿宋_GB2312" w:hAnsi="仿宋_GB2312" w:eastAsia="仿宋_GB2312"/>
          <w:b w:val="0"/>
          <w:sz w:val="32"/>
        </w:rPr>
        <w:t>一、《收入支出决算总表》</w:t>
      </w:r>
    </w:p>
    <w:p w14:paraId="3EFA6195">
      <w:pPr>
        <w:spacing w:line="240" w:lineRule="auto"/>
        <w:ind w:firstLine="640"/>
        <w:jc w:val="both"/>
      </w:pPr>
      <w:r>
        <w:rPr>
          <w:rFonts w:ascii="仿宋_GB2312" w:hAnsi="仿宋_GB2312" w:eastAsia="仿宋_GB2312"/>
          <w:b w:val="0"/>
          <w:sz w:val="32"/>
        </w:rPr>
        <w:t>二、《收入决算表》</w:t>
      </w:r>
    </w:p>
    <w:p w14:paraId="3DD50AC7">
      <w:pPr>
        <w:spacing w:line="240" w:lineRule="auto"/>
        <w:ind w:firstLine="640"/>
        <w:jc w:val="both"/>
      </w:pPr>
      <w:r>
        <w:rPr>
          <w:rFonts w:ascii="仿宋_GB2312" w:hAnsi="仿宋_GB2312" w:eastAsia="仿宋_GB2312"/>
          <w:b w:val="0"/>
          <w:sz w:val="32"/>
        </w:rPr>
        <w:t>三、《支出决算表》</w:t>
      </w:r>
    </w:p>
    <w:p w14:paraId="37D458D8">
      <w:pPr>
        <w:spacing w:line="240" w:lineRule="auto"/>
        <w:ind w:firstLine="640"/>
        <w:jc w:val="both"/>
      </w:pPr>
      <w:r>
        <w:rPr>
          <w:rFonts w:ascii="仿宋_GB2312" w:hAnsi="仿宋_GB2312" w:eastAsia="仿宋_GB2312"/>
          <w:b w:val="0"/>
          <w:sz w:val="32"/>
        </w:rPr>
        <w:t>四、《财政拨款收入支出决算总表》</w:t>
      </w:r>
    </w:p>
    <w:p w14:paraId="35DAA96F">
      <w:pPr>
        <w:spacing w:line="240" w:lineRule="auto"/>
        <w:ind w:firstLine="640"/>
        <w:jc w:val="both"/>
      </w:pPr>
      <w:r>
        <w:rPr>
          <w:rFonts w:ascii="仿宋_GB2312" w:hAnsi="仿宋_GB2312" w:eastAsia="仿宋_GB2312"/>
          <w:b w:val="0"/>
          <w:sz w:val="32"/>
        </w:rPr>
        <w:t>五、《一般公共预算财政拨款支出决算表》</w:t>
      </w:r>
    </w:p>
    <w:p w14:paraId="4E5A485B">
      <w:pPr>
        <w:spacing w:line="240" w:lineRule="auto"/>
        <w:ind w:firstLine="640"/>
        <w:jc w:val="both"/>
      </w:pPr>
      <w:r>
        <w:rPr>
          <w:rFonts w:ascii="仿宋_GB2312" w:hAnsi="仿宋_GB2312" w:eastAsia="仿宋_GB2312"/>
          <w:b w:val="0"/>
          <w:sz w:val="32"/>
        </w:rPr>
        <w:t>六、《一般公共预算财政拨款基本支出决算表》</w:t>
      </w:r>
    </w:p>
    <w:p w14:paraId="64348A43">
      <w:pPr>
        <w:spacing w:line="240" w:lineRule="auto"/>
        <w:ind w:firstLine="640"/>
        <w:jc w:val="both"/>
      </w:pPr>
      <w:r>
        <w:rPr>
          <w:rFonts w:ascii="仿宋_GB2312" w:hAnsi="仿宋_GB2312" w:eastAsia="仿宋_GB2312"/>
          <w:b w:val="0"/>
          <w:sz w:val="32"/>
        </w:rPr>
        <w:t>七、《政府性基金预算财政拨款收入支出决算表》</w:t>
      </w:r>
    </w:p>
    <w:p w14:paraId="76DE8FDB">
      <w:pPr>
        <w:spacing w:line="240" w:lineRule="auto"/>
        <w:ind w:firstLine="640"/>
        <w:jc w:val="both"/>
      </w:pPr>
      <w:r>
        <w:rPr>
          <w:rFonts w:ascii="仿宋_GB2312" w:hAnsi="仿宋_GB2312" w:eastAsia="仿宋_GB2312"/>
          <w:b w:val="0"/>
          <w:sz w:val="32"/>
        </w:rPr>
        <w:t>八、《国有资本经营预算财政拨款收入支出决算表》</w:t>
      </w:r>
    </w:p>
    <w:p w14:paraId="433EF968">
      <w:pPr>
        <w:spacing w:line="240" w:lineRule="auto"/>
        <w:ind w:firstLine="640"/>
        <w:jc w:val="both"/>
      </w:pPr>
      <w:r>
        <w:rPr>
          <w:rFonts w:ascii="仿宋_GB2312" w:hAnsi="仿宋_GB2312" w:eastAsia="仿宋_GB2312"/>
          <w:b w:val="0"/>
          <w:sz w:val="32"/>
        </w:rPr>
        <w:t>九、《财政拨款“三公”经费支出决算表》</w:t>
      </w:r>
    </w:p>
    <w:p w14:paraId="692BEA9A">
      <w:pPr>
        <w:spacing w:line="240" w:lineRule="auto"/>
        <w:ind w:firstLine="640"/>
        <w:jc w:val="both"/>
      </w:pPr>
    </w:p>
    <w:p w14:paraId="4F50EC14">
      <w:pPr>
        <w:spacing w:line="240" w:lineRule="auto"/>
        <w:ind w:firstLine="640"/>
        <w:jc w:val="both"/>
      </w:pPr>
    </w:p>
    <w:p w14:paraId="2A6F71F1">
      <w:pPr>
        <w:spacing w:line="240" w:lineRule="auto"/>
        <w:ind w:firstLine="640"/>
        <w:jc w:val="both"/>
      </w:pPr>
    </w:p>
    <w:p w14:paraId="4C06F42A">
      <w:pPr>
        <w:spacing w:line="240" w:lineRule="auto"/>
        <w:ind w:firstLine="640"/>
        <w:jc w:val="both"/>
      </w:pPr>
    </w:p>
    <w:p w14:paraId="55509D1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A4630D-5C7E-4E6E-8C3D-A178179F01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909D389-0C6D-4CDA-8C9A-F2C4ACCA0B95}"/>
  </w:font>
  <w:font w:name="方正小标宋_GBK">
    <w:panose1 w:val="02000000000000000000"/>
    <w:charset w:val="86"/>
    <w:family w:val="script"/>
    <w:pitch w:val="default"/>
    <w:sig w:usb0="A00002BF" w:usb1="38CF7CFA" w:usb2="00082016" w:usb3="00000000" w:csb0="00040001" w:csb1="00000000"/>
    <w:embedRegular r:id="rId3" w:fontKey="{AB858BE4-3087-48E7-B21D-722426E885D8}"/>
  </w:font>
  <w:font w:name="楷体_GB2312">
    <w:altName w:val="楷体"/>
    <w:panose1 w:val="00000000000000000000"/>
    <w:charset w:val="00"/>
    <w:family w:val="auto"/>
    <w:pitch w:val="default"/>
    <w:sig w:usb0="00000000" w:usb1="00000000" w:usb2="00000000" w:usb3="00000000" w:csb0="00000000" w:csb1="00000000"/>
    <w:embedRegular r:id="rId4" w:fontKey="{95B413B5-CCB9-431B-9E6E-2BC75CA8D472}"/>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F2004C"/>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14FF8"/>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3980</Words>
  <Characters>4627</Characters>
  <Lines>0</Lines>
  <Paragraphs>0</Paragraphs>
  <TotalTime>5</TotalTime>
  <ScaleCrop>false</ScaleCrop>
  <LinksUpToDate>false</LinksUpToDate>
  <CharactersWithSpaces>4635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2025-09-08T10:21:07Z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