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2023年度水土保持审查费水资源管理水土保持补偿费项目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阿图什市水利局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胡晓龙</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水利行业发展需要，按自治区水资源管理工作要求，结合本单位水土保持和水资源方面管理职能，水土保持和水资源方面工作职责，按照年度工作计划，开展水土保持审查费水资源管理水土保持补偿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水利行业发展需要，保障单位工作正常开展，统筹抓好新时代水资源管理和水土保持工作，加强水资源保护，2023年开展水土保持项目审查数量20个，采购办公用品数量1批，车辆加油及维修数量4辆，制作河湖长制度牌数量150个，缴纳残疾人保障金人数25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实施主体：本项目的主管部门为阿图什市水利局,实施单位为阿图什市水利局，主要职责项目实施过程中严格按照实施方案进行实施并及时进行监督管理，项目实施后进行及时验收及后期管理。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资金投入情况：本项目总投资128.8万元，资金来源为本级部门预算。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资金使用情况：根据项目实施情况，项目资金实际支付26.63万元，资金执行率达到20.7%。具体使用情况如下：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水土保持项目审查成本：0万元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办公用品采购成本：4.24万元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制作河湖长制度牌成本：5.75万元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缴纳残疾人保障金成本：0万元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其他费用支出成本：14.06万元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车辆运行维护费成本：2.58万元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自治州“十四五”规划及水利行业发展需要，本项目资金128.8万元用于部分业务经费支出，包括办公用品采购、制作宣传牌、车辆运行维护等，通过实施保障单位工作正常开展，统筹抓好新时代水资源管理和水土保持工作，加强水资源保护。</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水土保持审查费水资源管理水土保持补偿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水土保持审查费水资源管理水土保持补偿费项目的管理绩效，了解和掌握2023年度水土保持审查费水资源管理水土保持补偿费项目资金的具体情况，评价该项目资金安排的科学性、合理性、规范性和资金的使用成效，及时总结项目管理经验，完善项目管理办法，提高项目管理水平和资金使用效益。促使项目承担单位阿图什市水利局根据绩效评价中发现的问题，认真加以整改，及时调整和完善单位的工作计划和绩效目标并加强2023年度水土保持审查费水资源管理水土保持补偿费项目管理，提高管理水平，同时为项目后续资金投入、分配和管理提供决策依据。同时将绩效评价结果与项目预算挂钩，为2024年度水土保持审查费水资源管理水土保持补偿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对2023年度水土保持审查费水资源管理水土保持补偿费项目从预算编制合理性、资金使用合规性、项目管理的规范性、实施情况、总体绩效目标、各项绩效指标完成情况以及预算执行情况进行科学性评价。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度水土保持审查费水资源管理水土保持补偿费项目的深入调研基础上，按照《项目支出绩效评价管理办法》（财预〔2020〕10号）对于指标体系的要求和规范，建立一套适合评价2023年度水土保持审查费水资源管理水土保持补偿费项目的指标体系，从项目决策、项目过程、项目产出和项目绩效四个维度全面考察2023年度水土保持审查费水资源管理水土保持补偿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2023年度水土保持审查费水资源管理水土保持补偿费项目属于延续项目，有相应的行业标准和历史标准，故采用计划标准、行业标准、历史标准评价该项目。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米吉提·艾克木</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魏培良</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古丽姆娜尔</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水土保持审查费水资源管理水土保持补偿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度水土保持审查费水资源管理水土保持补偿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水土保持审查费水资源管理水土保持补偿费项目综合得分为85.16分，评价结果为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2023年度水土保持审查费水资源管理水土保持补偿费项目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13.04</w:t>
      </w:r>
      <w:r>
        <w:rPr>
          <w:rStyle w:val="18"/>
          <w:rFonts w:hint="eastAsia" w:ascii="仿宋" w:hAnsi="仿宋" w:eastAsia="仿宋" w:cs="仿宋"/>
          <w:b w:val="0"/>
          <w:bCs w:val="0"/>
          <w:spacing w:val="-4"/>
          <w:sz w:val="32"/>
          <w:szCs w:val="32"/>
        </w:rPr>
        <w:tab/>
        <w:t>预算执行率扣3.96分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19.12</w:t>
      </w:r>
      <w:r>
        <w:rPr>
          <w:rStyle w:val="18"/>
          <w:rFonts w:hint="eastAsia" w:ascii="仿宋" w:hAnsi="仿宋" w:eastAsia="仿宋" w:cs="仿宋"/>
          <w:b w:val="0"/>
          <w:bCs w:val="0"/>
          <w:spacing w:val="-4"/>
          <w:sz w:val="32"/>
          <w:szCs w:val="32"/>
        </w:rPr>
        <w:tab/>
        <w:t>指标完成情况扣10.88分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85.16</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2023年度水土保持审查费水资源管理水土保持补偿费项目资金达到了年初设立的绩效目标，在实施过程中取得了良好的成效，具体表现在以下几点：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水土保持项目审查数量20个，采购办公用品数量1批，车辆加油及维修数量4辆，制作河湖长制度牌数量150个，缴纳残疾人保障金人数25人，保障单位工作正常开展，统筹抓好新时代水资源管理和水土保持工作，加强水资源保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全年2023年度水土保持审查费水资源管理水土保持补偿费项目支出共计26.63万元，评价得分值85.16分。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水土保持审查费水资源管理水土保持补偿费项目预算依据。继而进行该项目支出预算的编制、执行和上报等工作。在项目预算的编制工程中，坚持履行政府职能方面的轻重缓急程度进行先后排序，坚持对2023年度水土保持审查费水资源管理水土保持补偿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水土保持审查费水资源管理水土保持补偿费项目组织形式，明确了该项目经费的开支范围为2023年度水土保持审查费水资源管理水土保持补偿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w:t>
      </w:r>
      <w:r>
        <w:rPr>
          <w:rStyle w:val="18"/>
          <w:rFonts w:hint="eastAsia" w:ascii="仿宋" w:hAnsi="仿宋" w:eastAsia="仿宋" w:cs="仿宋"/>
          <w:b w:val="0"/>
          <w:bCs w:val="0"/>
          <w:spacing w:val="-4"/>
          <w:sz w:val="32"/>
          <w:szCs w:val="32"/>
          <w:lang w:eastAsia="zh-CN"/>
        </w:rPr>
        <w:t>施</w:t>
      </w:r>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w:t>
      </w:r>
      <w:bookmarkStart w:id="0" w:name="_GoBack"/>
      <w:bookmarkEnd w:id="0"/>
      <w:r>
        <w:rPr>
          <w:rStyle w:val="18"/>
          <w:rFonts w:hint="eastAsia" w:ascii="仿宋" w:hAnsi="仿宋" w:eastAsia="仿宋" w:cs="仿宋"/>
          <w:b w:val="0"/>
          <w:bCs w:val="0"/>
          <w:spacing w:val="-4"/>
          <w:sz w:val="32"/>
          <w:szCs w:val="32"/>
        </w:rPr>
        <w:t>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水土保持审查费水资源管理水土保持补偿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水土保持项目审查数量，预期指标值是等于20个，实际完成值是等于0个，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数量指标为采购办公用品数量，预期指标值是等于1批，实际完成值是等于1批，指标达到预期目标。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数量指标为车辆加油及维修数量，预期指标值是等于4辆，实际完成值是等于4辆，指标达到预期目标。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制作河湖长制度牌数量，预期指标值是大于等于150个，实际完成值是等于14个，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缴纳残疾人保障金人数，预期指标值是等于25人，实际完成值是等于0人，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质量指标为业务工作正常开展率，预期指标值是等于100%，实际完成值是等于100%，指标达到预期目标。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质量指标为项目审查合格率，预期指标值是等于100%，实际完成值是等于100%，指标达到预期目标。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水土保持项目审查成本，预期指标值是小于等于3.60万元，实际完成值是等于0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办公用品采购成本，预期指标值是小于等于28万元，实际完成值是等于4.24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制作河湖长制度牌成本，预期指标值是小于等于60万元，实际完成值是等于5.75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缴纳残疾人保障金，预期指标值是小于等于4.38万元，实际完成值是等于0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其他费用支出，预期指标值是小于等于17.82万元，实际完成值是等于14.06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车辆运行维护费，预期指标值是小于等于15万元，实际完成值是等于2.58万元，指标未达到预期目标。原因：项目未按计划执行，资金执行率偏低，导致该指标未完成；措施：下一年度合理安排预算，做好年初计划，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项目实施产生的社会效益指标为加强水资源保护，预期指标值是效果明显，实际完成值是效果明显，指标达到预期目标。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满意度指标为工作人员满意度，预期指标值是大于等于98%，实际完成值是等于95%，指标达到预期目标。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6894190"/>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45</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2024-11-18T03:44:41Z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FED5FD137B504DD3A112E0074D3FAA76</vt:lpwstr>
  </property>
</Properties>
</file>