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节能减排，宣传，办公经费项目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克孜勒苏柯尔克孜自治州生态环境局阿图什市分局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克孜勒苏柯尔克孜自治州生态环境局阿图什市分局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赵海银</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落实中央经济工作会议关于“加大节能力度和考核”的要求，扎实推进公共机构节约能源资源工作，以“节约能源，绿色发展”为主题，以全面贯彻落实科学发展观为主线，通过规范各种办公活动，推行节约行为模式，培养良好节约习惯，以达到能源利用节约化，环境质量友好化，发展空间最优化的目的。遵循“节约、环保、可再生”的原则，倡导消费无污染的物品，消费过程中不污染环境，自觉抵制和不消费那些破坏环境或大量消费资源的商品。本项目的立项依据为根据《公共机构节能条例》和《公共机构节约能源资源考核工作流程》，我局认真贯彻执行《中华人民共和国节约能源法》、《重点用能单位节能管理办法》等能源管理法规，加强节能管理，推进技术进步，提高能源利用效率，充分、有效、合理地使用能源，切实搞好单位节能降耗工作，降低生产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公共机构节能条例》和《公共机构节约能源资源考核流程》要求，保障单位公务用车正常运行，对办公及单位消防应急、安全设备进行维修及维护，开展环境保护宣传工作，保障单位各项业务工作正常开展，规范各种办公活动，推行节约行为模式，培养良好节约习惯，达到能源利用节约化，环境质量友好化，发展空间最优化的目的。2023年开展单位保障车辆维修维护期限1年，办公室节能、降碳、减排维修维护工作期限1年，消防应急安全设备维修及维护期限1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克孜勒苏柯尔克孜自治州生态环境局阿图什市分局,实施单位为克孜勒苏柯尔克孜自治州生态环境局阿图什市分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资金投入情况：本项目总投资75万元，资金来源为本级部门预算。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资金使用情况：根据项目实施情况，项目资金实际支付32.24万元，资金执行率达到43%。具体使用情况如下：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单位保障车辆维修维护（燃油）成本：2.24万元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办公室节能、降碳、减排维修维护成本：0万元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消防应急安全设备维修及维护成本：0万元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其他相关业务工作经费：30万元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公共机构节能条例》和《公共机构节约能源资源考核流程》要求，本项目计划投入资金75万元，主要用于保障单位公务用车正常运行，对办公及单位消防应急、安全设备进行维修及维护，开展环境保护宣传工作。通过项目的实施，保障单位各项业务工作正常开展，规范各种办公活动，推行节约行为模式，培养良好节约习惯，达到能源利用节约化，环境质量友好化，发展空间最优化的目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节能减排，宣传，办公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节能减排，宣传，办公经费项目的管理绩效，了解和掌握2023年节能减排，宣传，办公经费项目资金的具体情况，评价该项目资金安排的科学性、合理性、规范性和资金的使用成效，及时总结项目管理经验，完善项目管理办法，提高项目管理水平和资金使用效益。促使项目承担单位克孜勒苏柯尔克孜自治州生态环境局阿图什市分局根据绩效评价中发现的问题，认真加以整改，及时调整和完善单位的工作计划和绩效目标并加强节能减排，宣传，办公经费项目管理，提高管理水平，同时为项目后续资金投入、分配和管理提供决策依据。同时将绩效评价结果与项目预算挂钩，为2024年度节能减排，宣传，办公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对2023年节能减排，宣传，办公经费项目从预算编制合理性、资金使用合规性、项目管理的规范性、实施情况、总体绩效目标、各项绩效指标完成情况以及预算执行情况进行科学性评价。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节能减排，宣传，办公经费项目的深入调研基础上，按照《项目支出绩效评价管理办法》（财预〔2020〕10号）对于指标体系的要求和规范，建立一套适合评价节能减排，宣传，办公经费项目的指标体系，从项目决策、项目过程、项目产出和项目绩效四个维度全面考察节能减排，宣传，办公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节能减排，宣传，办公经费项目属于延续项目，有相应的行业标准和历史标准，故采用计划标准、行业标准、历史标准评价该项目。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宋宁宁</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赵海银</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阿依夏木古丽·阿皮孜</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节能减排，宣传，办公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节能减排，宣传，办公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节能减排，宣传，办公经费项目综合得分为91.34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2023年节能减排，宣传，办公经费项目评价得分情况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14.15</w:t>
      </w:r>
      <w:r>
        <w:rPr>
          <w:rStyle w:val="18"/>
          <w:rFonts w:hint="eastAsia" w:ascii="仿宋" w:hAnsi="仿宋" w:eastAsia="仿宋" w:cs="仿宋"/>
          <w:b w:val="0"/>
          <w:bCs w:val="0"/>
          <w:spacing w:val="-4"/>
          <w:sz w:val="32"/>
          <w:szCs w:val="32"/>
        </w:rPr>
        <w:tab/>
        <w:t>预算执行率扣2.85分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24.19</w:t>
      </w:r>
      <w:r>
        <w:rPr>
          <w:rStyle w:val="18"/>
          <w:rFonts w:hint="eastAsia" w:ascii="仿宋" w:hAnsi="仿宋" w:eastAsia="仿宋" w:cs="仿宋"/>
          <w:b w:val="0"/>
          <w:bCs w:val="0"/>
          <w:spacing w:val="-4"/>
          <w:sz w:val="32"/>
          <w:szCs w:val="32"/>
        </w:rPr>
        <w:tab/>
        <w:t>指标完成情况扣5.81分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91.34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2023年节能减排，宣传，办公经费项目资金达到了年初设立的绩效目标，在实施过程中取得了良好的成效，具体表现在以下几点：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单位保障车辆维修维护期限1年，办公室节能、降碳、减排维修维护工作期限1年，消防应急安全设备维修及维护期限1年，保障单位公务用车正常运行，对办公及单位消防应急、安全设备进行维修及维护，开展环境保护宣传工作，保障单位各项业务工作正常开展，规范各种办公活动，推行节约行为模式，培养良好节约习惯，达到能源利用节约化，环境质量友好化，发展空间最优化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全年节能减排，宣传，办公经费项目支出共计32.24万元，评价得分值91.34分。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节能减排，宣传，办公经费项目预算依据。继而进行该项目支出预算的编制、执行和上报等工作。在项目预算的编制工程中，坚持履行政府职能方面的轻重缓急程度进行先后排序，坚持对节能减排，宣传，办公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节能减排，宣传，办公经费项目组织形式，明确了该项目经费的开支范围为节能减排，宣传，办公经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w:t>
      </w:r>
      <w:bookmarkStart w:id="0" w:name="_GoBack"/>
      <w:bookmarkEnd w:id="0"/>
      <w:r>
        <w:rPr>
          <w:rStyle w:val="18"/>
          <w:rFonts w:hint="eastAsia" w:ascii="仿宋" w:hAnsi="仿宋" w:eastAsia="仿宋" w:cs="仿宋"/>
          <w:b w:val="0"/>
          <w:bCs w:val="0"/>
          <w:spacing w:val="-4"/>
          <w:sz w:val="32"/>
          <w:szCs w:val="32"/>
        </w:rPr>
        <w:t>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节能减排，宣传，办公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数量指标为单位保障车辆维修维护期限，预期指标值是等于1年，实际完成值是等于1年，指标达到预期目标。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数量指标为办公室节能、降碳、减排维修维护工作期限，预期指标值是等于1年，实际完成值是等于1年，指标达到预期目标。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数量指标为消防应急安全设备维修及维护期限，预期指标值是等于1年，实际完成值是等于1年，指标达到预期目标。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质量指标为维修及维护工作质量达标率，预期指标值是等于100%，实际完成值是等于100%，指标达到预期目标。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时效指标为项目开始时间，预期指标值是2023年1月，实际完成值是等于2023年1月，指标达到预期目标。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单位保障车辆维修维护（燃油）成本，预期指标值是小于等于18万元，实际完成值是等于2.24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室节能、降碳、减排维修维护成本，预期指标值是小于等于10万元，实际完成值是等于0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消防应急安全设备维修及维护成本，预期指标值是小于等于3万元，实际完成值是等于0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相关业务工作经费，预期指标值是小于等于44万元，实际完成值是等于30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项目实施产生的社会效益指标为保障各项业务工作正常开展，预期指标值是有效保障，实际完成值是有效保障，指标达到预期目标。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5E005408"/>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43</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2024-11-25T04:26:41Z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