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原机关大院、人社局综合楼、财政综合楼日常运行费（含电费、水费、电梯维修维护、日常零星维修等）</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阿图什市人民政府办公室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阿图什市人民政府办公室</w:t>
      </w:r>
      <w:r>
        <w:rPr>
          <w:rStyle w:val="18"/>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曹斅懿</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遵循朴素、实用、安全、节能的原则，以消除安全隐患、恢复和完善使用功能为重点，助力实现厉行节约、降低成本。阿图什市机关事务管理中心积极开展后勤保障维修、绿化、美化、亮化、安保、环境卫生等工作。本项目的立项依据为阿图什市机关事务管理中心召开党组会议，讨论研究了2023年预算，市人社、财政大楼消防设施完善，市委、市政府搬迁前后维修修缮工作、消防维护、机关食堂、市委大院后勤保障等费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机关事务管理中心党组会议相关要求，本项目资金用于原机关大院、人社局综合楼、财政综合楼日常运行费，确保各单位日常业务工作正常开展，提高工作效率。2023年开展工作水电费缴费期限12月，全年日常维修维护次数</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24次，辆公务用车保险数量122辆</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实施主体：本项目的主管部门为阿图什市人民政府办公室,实施单位为阿图什市人民政府办公室，主要职责项目实施过程中严格按照实施方案进行实施并及时进行监督管理，项目实施后进行及时验收及后期管理。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资金投入情况：本项目总投资378.82万元，资金来源为本级部门预算。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资金使用情况：根据项目实施情况，项目资金实际支付277.04万元，资金执行率达到73.1%。具体使用情况如下：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水电费缴纳成本：28.20万元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全年日常维修维护成本：217.65万元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机关食堂运转支出成本：0万元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辆公务用车保险成本：31.19万元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年度总体目标为：根据阿图什市机关事务管理中心党组会议相关要求，本项目资金用于原机关大院、人社局综合楼、财政综合楼日常运行费，确保各单位日常业务工作正常开展，提高工作效率。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原机关大院、人社局综合楼、财政综合楼日常运行费（含电费、水费、电梯维修维护、日常零星维修等）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原机关大院、人社局综合楼、财政综合楼日常运行费（含电费、水费、电梯维修维护、日常零星维修等）项目的管理绩效，了解和掌握2023年原机关大院、人社局综合楼、财政综合楼日常运行费（含电费、水费、电梯维修维护、日常零星维修等）项目资金的具体情况，评价该项目资金安排的科学性、合理性、规范性和资金的使用成效，及时总结项目管理经验，完善项目管理办法，提高项目管理水平和资金使用效益。促使项目承担单位阿图什市人民政府办公室根据绩效评价中发现的问题，认真加以整改，及时调整和完善单位的工作计划和绩效目标并加强原机关大院、人社局综合楼、财政综合楼日常运行费（含电费、水费、电梯维修维护、日常零星维修等）项目管理，提高管理水平，同时为项目后续资金投入、分配和管理提供决策依据。同时将绩效评价结果与项目预算挂钩，为2024年度原机关大院、人社局综合楼、财政综合楼日常运行费（含电费、水费、电梯维修维护、日常零星维修等）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原机关大院、人社局综合楼、财政综合楼日常运行费（含电费、水费、电梯维修维护、日常零星维修等）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原机关大院、人社局综合楼、财政综合楼日常运行费（含电费、水费、电梯维修维护、日常零星维修等）项目的深入调研基础上，按照《项目支出绩效评价管理办法》（财预〔2020〕10号）对于指标体系的要求和规范，建立一套适合评价原机关大院、人社局综合楼、财政综合楼日常运行费（含电费、水费、电梯维修维护、日常零星维修等）项目的指标体系，从项目决策、项目过程、项目产出和项目绩效四个维度全面考察原机关大院、人社局综合楼、财政综合楼日常运行费（含电费、水费、电梯维修维护、日常零星维修等）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原机关大院、人社局综合楼、财政综合楼日常运行费（含电费、水费、电梯维修维护、日常零星维修等）项目属于延续类项目，有相应的行业标准和历史标准，故采用计划标准、行业标准、历史标准评价该项目。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曹斅懿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阿比力江</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米热巴尼·艾尼</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江</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原机关大院、人社局综合楼、财政综合楼日常运行费（含电费、水费、电梯维修维护、日常零星维修等）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原机关大院、人社局综合楼、财政综合楼日常运行费（含电费、水费、电梯维修维护、日常零星维修等）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原机关大院、人社局综合楼、财政综合楼日常运行费（含电费、水费、电梯维修维护、日常零星维修等）项目综合得分为92.99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2023年原机关大院、人社局综合楼、财政综合楼日常运行费（含电费、水费、电梯维修维护、日常零星维修等）项目评价得分情况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15.65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预算执行率扣1.35分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24.34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指标完成情况扣5.66分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92.99</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2023年原机关大院、人社局综合楼、财政综合楼日常运行费（含电费、水费、电梯维修维护、日常零星维修等）项目资金达到了年初设立的绩效目标，在实施过程中取得了良好的成效，具体表现在以下几点：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通过本项目的实施2023年已完成水电费缴费期限</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12月，全年日常维修维护次数24次，辆公务用车保险数量122辆，用于原机关大院、人社局综合楼、财政综合楼日常运行费，确保各单位日常业务工作正常开展，提高工作效率。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全年原机关大院、人社局综合楼、财政综合楼日常运行费（含电费、水费、电梯维修维护、日常零星维修等）项目支出共计277.04万元，评价得分值92.99分。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原机关大院、人社局综合楼、财政综合楼日常运行费（含电费、水费、电梯维修维护、日常零星维修等）项目预算依据。继而进行该项目支出预算的编制、执行和上报等工作。在项目预算的编制工程中，坚持履行政府职能方面的轻重缓急程度进行先后排序，坚持对原机关大院、人社局综合楼、财政综合楼日常运行费（含电费、水费、电梯维修维护、日常零星维修等）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原机关大院、人社局综合楼、财政综合楼日常运行费（含电费、水费、电梯维修维护、日常零星维修等）项目组织形式，明确了该项目经费的开支范围为原机关大院、人社局综合楼、财政综合楼日常运行费（含电费、水费、电梯维修维护、日常零星维修等）项目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原机关大院、人社局综合楼、财政综合楼日常运行费（含电费、水费、电梯维修维护、日常零星维修等）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数量指标为水电费缴费期限，预期指标值是等于12月，实际完成值是等于12月，指标达到预期目标。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数量指标为全年日常维修维护次数，预期指标值是等于24次，实际完成值是等于24次，指标达到预期目标。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数量指标为公务用车保险数量，预期指标值是等</w:t>
      </w:r>
      <w:bookmarkStart w:id="0" w:name="_GoBack"/>
      <w:bookmarkEnd w:id="0"/>
      <w:r>
        <w:rPr>
          <w:rStyle w:val="18"/>
          <w:rFonts w:hint="eastAsia" w:ascii="仿宋" w:hAnsi="仿宋" w:eastAsia="仿宋" w:cs="仿宋"/>
          <w:b w:val="0"/>
          <w:bCs w:val="0"/>
          <w:spacing w:val="-4"/>
          <w:sz w:val="32"/>
          <w:szCs w:val="32"/>
        </w:rPr>
        <w:t>于122辆，实际完成值是等于122辆，指标达到预期目标。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质量指标为资金支付保障率，预期指标值是等于100%，实际完成值是等于100%，指标达到预期目标。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时效指标为经费支付及时性，预期指标值是等于100%，实际完成值是等于73.1%，指标未达到预期目标。原因：项目前期计划不够标准，部分指标未完成；措施：后期做好项目管理及计划，减少实施过程中的偏差。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经济成本指标为水电费缴纳成本，预期指标值是小于等于28.20万元，实际完成值是等于28.2万元，指标达到预期目标。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经济成本指标为全年日常维修维护成本，预期指标值是小于等于217.65万元，实际完成值是等于217.65万元，指标达到预期目标。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机关食堂运转支出成本，预期指标值是小于等于73.04万元，实际完成值是等于0万元，指标未达到预期目标。原因：该指标单另安排项目，因此指标支出为零；措施：后期做好项目计划，减少后期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辆公务用车保险成本，预期指标值是小于等于59.93万元，实际完成值是等于31.19万元，指标未达到预期目标。原因：财政单另安排预算，因此指标未完成；措施：后期做好项目计划，减少后期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项目实施产生的社会效益指标为保障单位工作正常运转，预期指标值是有效保障，实际完成值是有效保障，指标达到预期目标。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原因：项目前期预算编制不够精准，及资金支付材料不完整，导致项目实施过程中资金支付进度未达预期目标，产生偏差。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4EE0243"/>
    <w:rsid w:val="45687296"/>
    <w:rsid w:val="4609551D"/>
    <w:rsid w:val="4D2606A1"/>
    <w:rsid w:val="4DD42C22"/>
    <w:rsid w:val="50796DE0"/>
    <w:rsid w:val="5DA70C36"/>
    <w:rsid w:val="6D017E5C"/>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88</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2024-11-29T05:32:13Z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