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阿图什市信访联合接访中心运转项目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阿图什市信访局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阿图什市信访局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吐逊江·买买提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 xml:space="preserve"> 根据《“十四五”时期新疆维吾尔自治区信访工作发展规划》工作要求，及阿图什市信访工作需要，经阿图什市信访工作联席会议召集人同意，结合阿图什市信访联合接访中心工作职责，按照年度工作计划，开展阿图什市信访联合接访中心运转项目。立项依据 《关于印发&lt;“十四五”时期新疆维吾尔自治区信访工作发展规划&gt;重点任务责任分工的通知》（新信联发[2022]4号）《信访工作条例》第十六条：各级党委和政府应当为信访工作提供必要的支持和保障，所需经费列入本级预算。 第十八条：市、县级党委和政府应当建立和完善联合接访工作机制，根据工作需要组织有关机关、单位联合接待一站式解决信访问题。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项目实施内容：根据《“十四五”时期新疆维吾尔自治区信访工作发展规划》,本项目资金5万元用于信访工作日常业务经费，确保我市信访工作顺利开展，有效解决我市信访问题。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本项目的主管部门为阿图什市信访局,实施单位为阿图什市信访局，主要职责：贯彻落实党中央、自治区、自治州党委和市委、市政府及上级主管部门关于信访工作的方针、政策和法规，做好阿图什市信访工作。根据自治区、自治州有关信访工作的方针政策和法规，结合阿图什市信访工作实际，研究制定贯彻、宣传、落实的措施、方法，并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实施时间：2023年1月-12月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资金投入情况：本项目总投资5万元，资金来源为本级部门年初预算。</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资金使用情况：根据项目实施情况，项目资金实际支付5万元，资金执行率达到100%。具体使用情况如下：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办公及业务费用成本：2.50万元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上访人员接返差费成本：2万元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信访人员慰问成本：0.50万元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年度总体目标为：根据《“十四五”时期新疆维吾尔自治区信访工作发展规划》,本项目资金5万元用于信访工作日常业务经费，确保我市信访工作顺利开展，有效解决我市信访问题。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阿图什市信访联合接访中心运转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绩效评价，客观地评判阿图什市信访联合接访中心运转项目的管理绩效，了解和掌握2023年阿图什市信访联合接访中心运转项目资金的具体情况，评价该项目资金安排的科学性、合理性、规范性和资金的使用成效，及时总结项目管理经验，完善项目管理办法，提高项目管理水平和资金使用效益。促使项目承担单位阿图什市信访局根据绩效评价中发现的问题，认真加以整改，及时调整和完善单位的工作计划和绩效目标并加强阿图什市信访联合接访中心运转项目管理，提高管理水平，同时为项目后续资金投入、分配和管理提供决策依据。同时将绩效评价结果与项目预算挂钩，为2024年度阿图什市信访联合接访中心运转项目的使用提供决策参考，进一步提高项目资金的使用效益及配置效率，实现财政资源配置效益与效率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对2023年阿图什市信访联合接访中心运转项目从预算编制合理性、资金使用合规性、项目管理的规范性、实施情况、总体绩效目标、各项绩效指标完成情况以及预算执行情况进行科学性评价。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对2023年阿图什市信访联合接访中心运转项目的深入调研基础上，按照《项目支出绩效评价管理办法》（财预〔2020〕10号）对于指标体系的要求和规范，建立一套适合评价阿图什市信访联合接访中心运转项目的指标体系，从项目决策、项目过程、项目产出和项目绩效四个维度全面考察阿图什市信访联合接访中心运转项目资金的效益，并重点对于项目的产出和绩效进行总体分析，以达到通过指标体系的科学评价反思管理及决策问题的目标。（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绩效评价方法主要包括成本效益分析法、比较法、因素分析法、最低成本法、公众评判法、标杆管理法等。根据评价对象的具体情况，采用成本效益分析法、因素分析法评价本项目。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（1）成本效益分析法。是指将投入与产出、效益进行关联性分析的方法。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（2）因素分析法。是指综合分析影响绩效目标实现、实施效果的内外部因素的方法。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（4）财政部门和预算部门确认或认可的其他标准。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阿图什市信访联合接访中心运转项目属于业务类项目，有相应的行业标准和历史标准，故采用计划标准、行业标准、历史标准评价该项目。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评价人</w:t>
      </w:r>
      <w:r>
        <w:rPr>
          <w:rStyle w:val="17"/>
          <w:rFonts w:hint="eastAsia" w:ascii="仿宋" w:hAnsi="仿宋" w:eastAsia="仿宋" w:cs="仿宋"/>
          <w:b w:val="0"/>
          <w:bCs w:val="0"/>
          <w:spacing w:val="-4"/>
          <w:sz w:val="32"/>
          <w:szCs w:val="32"/>
        </w:rPr>
        <w:tab/>
        <w:t>职务</w:t>
      </w:r>
      <w:r>
        <w:rPr>
          <w:rStyle w:val="17"/>
          <w:rFonts w:hint="eastAsia" w:ascii="仿宋" w:hAnsi="仿宋" w:eastAsia="仿宋" w:cs="仿宋"/>
          <w:b w:val="0"/>
          <w:bCs w:val="0"/>
          <w:spacing w:val="-4"/>
          <w:sz w:val="32"/>
          <w:szCs w:val="32"/>
        </w:rPr>
        <w:tab/>
        <w:t>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李素琴</w:t>
      </w:r>
      <w:r>
        <w:rPr>
          <w:rStyle w:val="17"/>
          <w:rFonts w:hint="eastAsia" w:ascii="仿宋" w:hAnsi="仿宋" w:eastAsia="仿宋" w:cs="仿宋"/>
          <w:b w:val="0"/>
          <w:bCs w:val="0"/>
          <w:spacing w:val="-4"/>
          <w:sz w:val="32"/>
          <w:szCs w:val="32"/>
        </w:rPr>
        <w:tab/>
        <w:t>评价组组长</w:t>
      </w:r>
      <w:r>
        <w:rPr>
          <w:rStyle w:val="17"/>
          <w:rFonts w:hint="eastAsia" w:ascii="仿宋" w:hAnsi="仿宋" w:eastAsia="仿宋" w:cs="仿宋"/>
          <w:b w:val="0"/>
          <w:bCs w:val="0"/>
          <w:spacing w:val="-4"/>
          <w:sz w:val="32"/>
          <w:szCs w:val="32"/>
        </w:rPr>
        <w:tab/>
        <w:t>组织安排绩效评价工作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红豆孜·肉孜</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资料整理及信息汇总工作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热依汗古丽·阿卜杜克依木</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出具项目绩效评价报告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阿图什市信访联合接访中心运转项目的内容和特征制定了评价指标体系及评价标准以及评价实施方案，修正并确定所需资料清单，最终确定实施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阿图什市信访联合接访中心运转项目综合得分为100分，评价结果为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2023年阿图什市信访联合接访中心运转项目评价得分情况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指标类别</w:t>
      </w:r>
      <w:r>
        <w:rPr>
          <w:rStyle w:val="17"/>
          <w:rFonts w:hint="eastAsia" w:ascii="仿宋" w:hAnsi="仿宋" w:eastAsia="仿宋" w:cs="仿宋"/>
          <w:b w:val="0"/>
          <w:bCs w:val="0"/>
          <w:spacing w:val="-4"/>
          <w:sz w:val="32"/>
          <w:szCs w:val="32"/>
        </w:rPr>
        <w:tab/>
        <w:t>分值</w:t>
      </w:r>
      <w:r>
        <w:rPr>
          <w:rStyle w:val="17"/>
          <w:rFonts w:hint="eastAsia" w:ascii="仿宋" w:hAnsi="仿宋" w:eastAsia="仿宋" w:cs="仿宋"/>
          <w:b w:val="0"/>
          <w:bCs w:val="0"/>
          <w:spacing w:val="-4"/>
          <w:sz w:val="32"/>
          <w:szCs w:val="32"/>
        </w:rPr>
        <w:tab/>
        <w:t>评价得分</w:t>
      </w:r>
      <w:r>
        <w:rPr>
          <w:rStyle w:val="17"/>
          <w:rFonts w:hint="eastAsia" w:ascii="仿宋" w:hAnsi="仿宋" w:eastAsia="仿宋" w:cs="仿宋"/>
          <w:b w:val="0"/>
          <w:bCs w:val="0"/>
          <w:spacing w:val="-4"/>
          <w:sz w:val="32"/>
          <w:szCs w:val="32"/>
        </w:rPr>
        <w:tab/>
        <w:t>备注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决策</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过程</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产出、成本</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效益</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2023年阿图什市信访联合接访中心运转项目资金达到了年初设立的绩效目标，在实施过程中取得了良好的成效，具体表现在以下几点：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本项目共计支出5万元，用于印刷宣传品数量1批，上访人员接返次数5次，采购办公用品数量1批，保障信访局日常办公，确保我市信访工作顺利开展，有效解决我市信访问题。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全年阿图什市信访联合接访中心运转项目支出共计5万元，评价得分值100分。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（1）项目管理制度建设方面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对项目申请进行严格审核、筛选。根据拟申请预算项目，从相关性、预期绩效的可实现性、实施方案的有效性、预期绩效的可持续性及财政预算资金投入的可行性风险五个方面进行客观、公正的评估。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估结果作为申报2025年阿图什市信访联合接访中心运转项目预算依据。继而进行该项目支出预算的编制、执行和上报等工作。在项目预算的编制工程中，坚持履行政府职能方面的轻重缓急程度进行先后排序，坚持对阿图什市信访联合接访中心运转项目先进行论证，结合论证情况编制预算，最后由预算部门结合财力情况进行预算安排或追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（2）日常检查监督管理方面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阿图什市信访联合接访中心运转项目组织形式，明确了该项目经费的开支范围为阿图什市信访联合接访中心运转项目，严格做到专款专用，责任到人。在资金使用环节，严格遵守相关规定，严格按照我局资金财务审批流程办理款项支付。在会计核算环节，对本项目资金实际单独核算，确保财政预算资金专款专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（3）运用财务内控系统实时监管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年初将财政批复的财政预算资金预算指标整体导入，对预算指标按照项目分类，从数量、质量、时效、满意度等方面分别进行管理控制，监控、</w:t>
      </w:r>
      <w:r>
        <w:rPr>
          <w:rStyle w:val="17"/>
          <w:rFonts w:hint="eastAsia" w:ascii="仿宋" w:hAnsi="仿宋" w:eastAsia="仿宋" w:cs="仿宋"/>
          <w:b w:val="0"/>
          <w:bCs w:val="0"/>
          <w:spacing w:val="-4"/>
          <w:sz w:val="32"/>
          <w:szCs w:val="32"/>
          <w:lang w:eastAsia="zh-CN"/>
        </w:rPr>
        <w:t>掌</w:t>
      </w:r>
      <w:bookmarkStart w:id="0" w:name="_GoBack"/>
      <w:bookmarkEnd w:id="0"/>
      <w:r>
        <w:rPr>
          <w:rStyle w:val="17"/>
          <w:rFonts w:hint="eastAsia" w:ascii="仿宋" w:hAnsi="仿宋" w:eastAsia="仿宋" w:cs="仿宋"/>
          <w:b w:val="0"/>
          <w:bCs w:val="0"/>
          <w:spacing w:val="-4"/>
          <w:sz w:val="32"/>
          <w:szCs w:val="32"/>
        </w:rPr>
        <w:t>握预算实时信息，通过不定期检查预算执行情况，增强预算指标刚性。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严格按照政府采购制度规范实施政府采购。对于需要实时政府采购的活动，严格实施、履行采购手续，根据不同需求的经费类项目，选择合规可行的采购形式，并组织专家评审或公开招标，将采购政策、采购程序、采购过程规范化、透明化，提升相关资源和财政预算资金的使用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依照预算财政预算资金管理制度，按照不定期检查与项目周期检查相结合的方式，对财政预算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阿图什市信访联合接访中心运转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数量指标为印刷宣传品数量，预期指标值是1批，实际完成值是1批，指标达到预期目标。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数量指标为上访人员接返次数，预期指标值是大于等于5次，实际完成值是5次，指标达到预期目标。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数量指标为采购办公用品数量，预期指标值是1批，实际完成值是1批，指标达到预期目标。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质量指标日常业务工作开展率，预期指标值是100%，实际完成值是100%，指标达到预期目标。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时效指标项目完成时限，预期指标值是2023年12月，实际完成值是2023年12月，指标达到预期目标。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（1）经济成本指标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经济成本指标为办公及业务费用成本，预期指标值是小于等于2.50万元，实际完成值是2.5万元，指标达到预期目标。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经济成本指标为上访人员接返差费成本，预期指标值是小于等于2万元，实际完成值是2万元，指标达到预期目标。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经济成本指标为信访人员慰问成本，预期指标值是小于等于0.50万元，实际完成值是0.5万元，指标达到预期目标。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（3）生态环境成本指标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项目实施产生的社会效益指标为维护群众正常权益，预期指标值是效果明显，实际完成值是效果明显</w:t>
      </w:r>
      <w:r>
        <w:rPr>
          <w:rStyle w:val="17"/>
          <w:rFonts w:hint="eastAsia" w:ascii="仿宋" w:hAnsi="仿宋" w:eastAsia="仿宋" w:cs="仿宋"/>
          <w:b w:val="0"/>
          <w:bCs w:val="0"/>
          <w:spacing w:val="-4"/>
          <w:sz w:val="32"/>
          <w:szCs w:val="32"/>
        </w:rPr>
        <w:tab/>
        <w:t>，指标达到预期目标。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满意度指标为信访人员满意度，预期指标值是大于等于95%，实际完成值是95%，指标达到预期目标。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（二）存在的问题及原因分析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项目已按照年初计划完成，基本达到预期目标。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3F34754"/>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44</TotalTime>
  <ScaleCrop>false</ScaleCrop>
  <LinksUpToDate>false</LinksUpToDate>
  <CharactersWithSpaces>721</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2024-11-25T05:42:27Z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