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法律服务经费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阿图什市司法局</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阿图什市司法局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王江红</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2024年05月30日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1．项目背景</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为稳步推进和规范乡镇（街道）“一村（社区）法律顾问”工作，提升公共法律服务质量，建立覆盖城乡的基层公共法律顾问体系，促进法制乡村建设。结合本单位工作管理职能、职责，按照年度工作计划，开展法律服务项目。本项目的立项依据是新司通【2022】27号 自治区 司法厅 自治区财政厅关于印发《关于健全完善自治区各级国家机关购买法律服务工作机制的实施意见》的通知。</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2．主要内容及实施情况</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（1）主要内容</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项目实施内容：</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根据新司通【2022】27号《关于健全完善自治区各级国家机关购买法律服务工作机制的实施意见》的通知，通过聘请各乡镇（街道）基层法律服务所提供法律服务，通过法制讲座，以案说法等方式，协助村（社区）开展宪法和婚姻家庭，物权，物业管理，公证，交通安全和生产安全等与村（居）民密切相关的法律法规宣传，开展“法律村（社区）”活动等工作，2023年开展法律服务村（社区）数量117个，基层法律服务人数40人。</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（2）实施情况：</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实施主体：本项目的主管部门为阿图什市司法局,实施单位为阿图什市司法局，主要职责项目实施过程中严格按照实施方案进行实施并及时进行监督管理，项目实施后进行及时验收及后期管理。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实施时间：2023年1月-12月</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实施结果：项目实施前进行充分调研，并制定项目实施方案，项目实施过程中严格按照实施方案进行实施并及时进行监督管理，项目实施后进行及时验收及后期维护。</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3．资金投入和使用情况</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资金投入情况：本项目总投资117万元，资金来源为本级部门预算。</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资金使用情况：根据项目实施情况，项目资金实际支付0万元，资金执行率达到0%。具体使用情况如下：</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村（社区）法律经费标准成本：0万元</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年度总体目标为：根据新司通【2022】27号《关于健全完善自治区各级国家机关购买法律服务工作机制的实施意见》的通知，通过聘请各乡镇（街道）基层法律服务所提供法律服务，通过法制讲座，以案说法等方式，协助村（社区）开展宪法和婚姻家庭，物权，物业管理，公证，交通安全和生产安全等与村（居）民密切相关的法律法规宣传，开展“法律村（社区）”活动。</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1．绩效评价目的</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法律服务经费项目实施前期、过程及效果，评价财政预算资金使用的效率及效益。</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通过绩效评价，客观地评判法律服务经费项目的管理绩效，了解和掌握2023年法律服务经费项目资金的具体情况，评价该项目资金安排的科学性、合理性、规范性和资金的使用成效，及时总结项目管理经验，完善项目管理办法，提高项目管理水平和资金使用效益。促使项目承担单位阿图什市司法局根据绩效评价中发现的问题，认真加以整改，及时调整和完善单位的工作计划和绩效目标并加强法律服务经费项目管理，提高管理水平，同时为项目后续资金投入、分配和管理提供决策依据。同时将绩效评价结果与项目预算挂钩，为2024年度法律服务经费项目资金的使用提供决策参考，进一步提高项目资金的使用效益及配置效率，实现财政资源配置效益与效率最大化。</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2．绩效评价对象</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对2023年法律服务经费项目从预算编制合理性、资金使用合规性、项目管理的规范性、实施情况、总体绩效目标、各项绩效指标完成情况以及预算执行情况进行科学性评价。</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3．绩效评价范围</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本次评价从项目决策（包括绩效目标、决策过程）、项目管理（包括项目资金、项目实施）、项目产出（包括项目产出数量、产出质量、产出时效和产出成本）项目效益四个维度进行评价，评价对象为2023年度财政下达预算绩效管理所有项目支出，评价核心为预算资金的支出完成情况和效果。</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1．绩效评价原则</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（4）公开透明。绩效评价结果应依法依规公开，并自觉接受社会监督。</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2．绩效评价指标体系</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在对2023年法律服务经费项目的深入调研基础上，按照《项目支出绩效评价管理办法》（财预〔2020〕10号）对于指标体系的要求和规范，建立一套适合评价法律服务经费项目的指标体系，从项目决策、项目过程、项目产出和项目绩效四个维度全面考察法律服务经费项目资金的效益，并重点对于项目的产出和绩效进行总体分析，以达到通过指标体系的科学评价反思管理及决策问题的目标。（见附件1）</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3．绩效评价方法</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绩效评价方法主要包括成本效益分析法、比较法、因素分析法、最低成本法、公众评判法、标杆管理法等。根据评价对象的具体情况，采用成本效益分析法、比较法、因素分析法、最低成本法评价本项目。</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（1）成本效益分析法。是指将投入与产出、效益进行关联性分析的方法。</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（2）比较法。是指将实施情况与绩效目标、历史情况、不同部门和地区同类支出情况进行比较的方法。</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（3）因素分析法。是指综合分析影响绩效目标实现、实施效果的内外部因素的方法。</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（4）最低成本法。是指在绩效目标确定的前提下，成本最小者为优的方法。</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4．绩效评价标准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绩效评价标准通常包括计划标准、行业标准、历史标准等，用于对绩效指标完成情况进行比较。</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（1）计划标准。指以预先制定的目标、计划、预算、定额等作为评价标准。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（2）行业标准。指参照国家公布的行业指标数据制定的评价标准。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（3）历史标准。指参照历史数据制定的评价标准，为体现绩效改进的原则，在可实现的条件下应当确定相对较高的评价标准。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（4）财政部门和预算部门确认或认可的其他标准。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法律服务经费项目属于延续项目，有相应的行业标准和历史标准，故采用计划标准、行业标准、历史标准评价该项目。</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1．前期准备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本次评价成立了评价工作组，成员如下：</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评价人</w:t>
      </w:r>
      <w:r>
        <w:rPr>
          <w:rStyle w:val="17"/>
          <w:rFonts w:hint="eastAsia" w:ascii="仿宋" w:hAnsi="仿宋" w:eastAsia="仿宋" w:cs="仿宋"/>
          <w:b w:val="0"/>
          <w:bCs w:val="0"/>
          <w:spacing w:val="-4"/>
          <w:sz w:val="32"/>
          <w:szCs w:val="32"/>
        </w:rPr>
        <w:tab/>
        <w:t>职务</w:t>
      </w:r>
      <w:r>
        <w:rPr>
          <w:rStyle w:val="17"/>
          <w:rFonts w:hint="eastAsia" w:ascii="仿宋" w:hAnsi="仿宋" w:eastAsia="仿宋" w:cs="仿宋"/>
          <w:b w:val="0"/>
          <w:bCs w:val="0"/>
          <w:spacing w:val="-4"/>
          <w:sz w:val="32"/>
          <w:szCs w:val="32"/>
        </w:rPr>
        <w:tab/>
        <w:t>职责</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黄龙平</w:t>
      </w:r>
      <w:r>
        <w:rPr>
          <w:rStyle w:val="17"/>
          <w:rFonts w:hint="eastAsia" w:ascii="仿宋" w:hAnsi="仿宋" w:eastAsia="仿宋" w:cs="仿宋"/>
          <w:b w:val="0"/>
          <w:bCs w:val="0"/>
          <w:spacing w:val="-4"/>
          <w:sz w:val="32"/>
          <w:szCs w:val="32"/>
        </w:rPr>
        <w:tab/>
        <w:t>评价组组长</w:t>
      </w:r>
      <w:r>
        <w:rPr>
          <w:rStyle w:val="17"/>
          <w:rFonts w:hint="eastAsia" w:ascii="仿宋" w:hAnsi="仿宋" w:eastAsia="仿宋" w:cs="仿宋"/>
          <w:b w:val="0"/>
          <w:bCs w:val="0"/>
          <w:spacing w:val="-4"/>
          <w:sz w:val="32"/>
          <w:szCs w:val="32"/>
        </w:rPr>
        <w:tab/>
        <w:t>组织安排绩效评价工作</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胡婷婷</w:t>
      </w:r>
      <w:r>
        <w:rPr>
          <w:rStyle w:val="17"/>
          <w:rFonts w:hint="eastAsia" w:ascii="仿宋" w:hAnsi="仿宋" w:eastAsia="仿宋" w:cs="仿宋"/>
          <w:b w:val="0"/>
          <w:bCs w:val="0"/>
          <w:spacing w:val="-4"/>
          <w:sz w:val="32"/>
          <w:szCs w:val="32"/>
        </w:rPr>
        <w:tab/>
        <w:t>评价组成员</w:t>
      </w:r>
      <w:r>
        <w:rPr>
          <w:rStyle w:val="17"/>
          <w:rFonts w:hint="eastAsia" w:ascii="仿宋" w:hAnsi="仿宋" w:eastAsia="仿宋" w:cs="仿宋"/>
          <w:b w:val="0"/>
          <w:bCs w:val="0"/>
          <w:spacing w:val="-4"/>
          <w:sz w:val="32"/>
          <w:szCs w:val="32"/>
        </w:rPr>
        <w:tab/>
        <w:t>资料整理及信息汇总工作</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王江红</w:t>
      </w:r>
      <w:r>
        <w:rPr>
          <w:rStyle w:val="17"/>
          <w:rFonts w:hint="eastAsia" w:ascii="仿宋" w:hAnsi="仿宋" w:eastAsia="仿宋" w:cs="仿宋"/>
          <w:b w:val="0"/>
          <w:bCs w:val="0"/>
          <w:spacing w:val="-4"/>
          <w:sz w:val="32"/>
          <w:szCs w:val="32"/>
        </w:rPr>
        <w:tab/>
        <w:t>评价组成员</w:t>
      </w:r>
      <w:r>
        <w:rPr>
          <w:rStyle w:val="17"/>
          <w:rFonts w:hint="eastAsia" w:ascii="仿宋" w:hAnsi="仿宋" w:eastAsia="仿宋" w:cs="仿宋"/>
          <w:b w:val="0"/>
          <w:bCs w:val="0"/>
          <w:spacing w:val="-4"/>
          <w:sz w:val="32"/>
          <w:szCs w:val="32"/>
        </w:rPr>
        <w:tab/>
        <w:t>出具项目绩效评价报告</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2024年3月20日开始前期准备工作。评价组通过对评价对象前期调研，确定了评价的目的、方法以及评价的原则，根据法律服务经费项目的内容和特征制定了评价指标体系及评价标准以及评价实施方案，修正并确定所需资料清单，最终确定实施方案。</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2．组织实施</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2024年4月1日-4月20日，评价工作进入实施阶段。数据采集方面，评价组整理单位前期提交的各项资料，与项目实施负责人沟通，了解法律服务经费的内容、操作流程、管理机制、资金使用方向等情况；进行项目支出部门评价各项工作信息采集，了解项目设置背景及资金使用等情况。</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3．分析评价</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2024年4月21日-5月20日，评价组按照绩效评价的原则和规范，对取得的资料进行审查核实，对采集的数据进行分析，按照绩效评价指标评分表逐项进行打分、分析，汇总各方评价结果，综合分析并形成评价结论。</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法律服务经费项目综合得分为88分，评价结果为良。</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2023年法律服务经费项目评价得分情况</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指标类别</w:t>
      </w:r>
      <w:r>
        <w:rPr>
          <w:rStyle w:val="17"/>
          <w:rFonts w:hint="eastAsia" w:ascii="仿宋" w:hAnsi="仿宋" w:eastAsia="仿宋" w:cs="仿宋"/>
          <w:b w:val="0"/>
          <w:bCs w:val="0"/>
          <w:spacing w:val="-4"/>
          <w:sz w:val="32"/>
          <w:szCs w:val="32"/>
        </w:rPr>
        <w:tab/>
        <w:t>分值</w:t>
      </w:r>
      <w:r>
        <w:rPr>
          <w:rStyle w:val="17"/>
          <w:rFonts w:hint="eastAsia" w:ascii="仿宋" w:hAnsi="仿宋" w:eastAsia="仿宋" w:cs="仿宋"/>
          <w:b w:val="0"/>
          <w:bCs w:val="0"/>
          <w:spacing w:val="-4"/>
          <w:sz w:val="32"/>
          <w:szCs w:val="32"/>
        </w:rPr>
        <w:tab/>
        <w:t>评价得分</w:t>
      </w:r>
      <w:r>
        <w:rPr>
          <w:rStyle w:val="17"/>
          <w:rFonts w:hint="eastAsia" w:ascii="仿宋" w:hAnsi="仿宋" w:eastAsia="仿宋" w:cs="仿宋"/>
          <w:b w:val="0"/>
          <w:bCs w:val="0"/>
          <w:spacing w:val="-4"/>
          <w:sz w:val="32"/>
          <w:szCs w:val="32"/>
        </w:rPr>
        <w:tab/>
        <w:t>备注</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决策</w:t>
      </w:r>
      <w:r>
        <w:rPr>
          <w:rStyle w:val="17"/>
          <w:rFonts w:hint="eastAsia" w:ascii="仿宋" w:hAnsi="仿宋" w:eastAsia="仿宋" w:cs="仿宋"/>
          <w:b w:val="0"/>
          <w:bCs w:val="0"/>
          <w:spacing w:val="-4"/>
          <w:sz w:val="32"/>
          <w:szCs w:val="32"/>
        </w:rPr>
        <w:tab/>
        <w:t>23</w:t>
      </w:r>
      <w:r>
        <w:rPr>
          <w:rStyle w:val="17"/>
          <w:rFonts w:hint="eastAsia" w:ascii="仿宋" w:hAnsi="仿宋" w:eastAsia="仿宋" w:cs="仿宋"/>
          <w:b w:val="0"/>
          <w:bCs w:val="0"/>
          <w:spacing w:val="-4"/>
          <w:sz w:val="32"/>
          <w:szCs w:val="32"/>
        </w:rPr>
        <w:tab/>
        <w:t>23</w:t>
      </w:r>
      <w:r>
        <w:rPr>
          <w:rStyle w:val="17"/>
          <w:rFonts w:hint="eastAsia" w:ascii="仿宋" w:hAnsi="仿宋" w:eastAsia="仿宋" w:cs="仿宋"/>
          <w:b w:val="0"/>
          <w:bCs w:val="0"/>
          <w:spacing w:val="-4"/>
          <w:sz w:val="32"/>
          <w:szCs w:val="32"/>
        </w:rPr>
        <w:tab/>
        <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过程</w:t>
      </w:r>
      <w:r>
        <w:rPr>
          <w:rStyle w:val="17"/>
          <w:rFonts w:hint="eastAsia" w:ascii="仿宋" w:hAnsi="仿宋" w:eastAsia="仿宋" w:cs="仿宋"/>
          <w:b w:val="0"/>
          <w:bCs w:val="0"/>
          <w:spacing w:val="-4"/>
          <w:sz w:val="32"/>
          <w:szCs w:val="32"/>
        </w:rPr>
        <w:tab/>
        <w:t>17</w:t>
      </w:r>
      <w:r>
        <w:rPr>
          <w:rStyle w:val="17"/>
          <w:rFonts w:hint="eastAsia" w:ascii="仿宋" w:hAnsi="仿宋" w:eastAsia="仿宋" w:cs="仿宋"/>
          <w:b w:val="0"/>
          <w:bCs w:val="0"/>
          <w:spacing w:val="-4"/>
          <w:sz w:val="32"/>
          <w:szCs w:val="32"/>
        </w:rPr>
        <w:tab/>
        <w:t>12</w:t>
      </w:r>
      <w:r>
        <w:rPr>
          <w:rStyle w:val="17"/>
          <w:rFonts w:hint="eastAsia" w:ascii="仿宋" w:hAnsi="仿宋" w:eastAsia="仿宋" w:cs="仿宋"/>
          <w:b w:val="0"/>
          <w:bCs w:val="0"/>
          <w:spacing w:val="-4"/>
          <w:sz w:val="32"/>
          <w:szCs w:val="32"/>
        </w:rPr>
        <w:tab/>
        <w:t>预算执行率扣5分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产出、成本</w:t>
      </w:r>
      <w:r>
        <w:rPr>
          <w:rStyle w:val="17"/>
          <w:rFonts w:hint="eastAsia" w:ascii="仿宋" w:hAnsi="仿宋" w:eastAsia="仿宋" w:cs="仿宋"/>
          <w:b w:val="0"/>
          <w:bCs w:val="0"/>
          <w:spacing w:val="-4"/>
          <w:sz w:val="32"/>
          <w:szCs w:val="32"/>
        </w:rPr>
        <w:tab/>
        <w:t>30</w:t>
      </w:r>
      <w:r>
        <w:rPr>
          <w:rStyle w:val="17"/>
          <w:rFonts w:hint="eastAsia" w:ascii="仿宋" w:hAnsi="仿宋" w:eastAsia="仿宋" w:cs="仿宋"/>
          <w:b w:val="0"/>
          <w:bCs w:val="0"/>
          <w:spacing w:val="-4"/>
          <w:sz w:val="32"/>
          <w:szCs w:val="32"/>
        </w:rPr>
        <w:tab/>
        <w:t>23</w:t>
      </w:r>
      <w:r>
        <w:rPr>
          <w:rStyle w:val="17"/>
          <w:rFonts w:hint="eastAsia" w:ascii="仿宋" w:hAnsi="仿宋" w:eastAsia="仿宋" w:cs="仿宋"/>
          <w:b w:val="0"/>
          <w:bCs w:val="0"/>
          <w:spacing w:val="-4"/>
          <w:sz w:val="32"/>
          <w:szCs w:val="32"/>
        </w:rPr>
        <w:tab/>
        <w:t>指标完成情况扣7分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效益</w:t>
      </w:r>
      <w:r>
        <w:rPr>
          <w:rStyle w:val="17"/>
          <w:rFonts w:hint="eastAsia" w:ascii="仿宋" w:hAnsi="仿宋" w:eastAsia="仿宋" w:cs="仿宋"/>
          <w:b w:val="0"/>
          <w:bCs w:val="0"/>
          <w:spacing w:val="-4"/>
          <w:sz w:val="32"/>
          <w:szCs w:val="32"/>
        </w:rPr>
        <w:tab/>
        <w:t>30</w:t>
      </w:r>
      <w:r>
        <w:rPr>
          <w:rStyle w:val="17"/>
          <w:rFonts w:hint="eastAsia" w:ascii="仿宋" w:hAnsi="仿宋" w:eastAsia="仿宋" w:cs="仿宋"/>
          <w:b w:val="0"/>
          <w:bCs w:val="0"/>
          <w:spacing w:val="-4"/>
          <w:sz w:val="32"/>
          <w:szCs w:val="32"/>
        </w:rPr>
        <w:tab/>
        <w:t>30</w:t>
      </w:r>
      <w:r>
        <w:rPr>
          <w:rStyle w:val="17"/>
          <w:rFonts w:hint="eastAsia" w:ascii="仿宋" w:hAnsi="仿宋" w:eastAsia="仿宋" w:cs="仿宋"/>
          <w:b w:val="0"/>
          <w:bCs w:val="0"/>
          <w:spacing w:val="-4"/>
          <w:sz w:val="32"/>
          <w:szCs w:val="32"/>
        </w:rPr>
        <w:tab/>
        <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合计</w:t>
      </w:r>
      <w:r>
        <w:rPr>
          <w:rStyle w:val="17"/>
          <w:rFonts w:hint="eastAsia" w:ascii="仿宋" w:hAnsi="仿宋" w:eastAsia="仿宋" w:cs="仿宋"/>
          <w:b w:val="0"/>
          <w:bCs w:val="0"/>
          <w:spacing w:val="-4"/>
          <w:sz w:val="32"/>
          <w:szCs w:val="32"/>
        </w:rPr>
        <w:tab/>
        <w:t>100</w:t>
      </w:r>
      <w:r>
        <w:rPr>
          <w:rStyle w:val="17"/>
          <w:rFonts w:hint="eastAsia" w:ascii="仿宋" w:hAnsi="仿宋" w:eastAsia="仿宋" w:cs="仿宋"/>
          <w:b w:val="0"/>
          <w:bCs w:val="0"/>
          <w:spacing w:val="-4"/>
          <w:sz w:val="32"/>
          <w:szCs w:val="32"/>
        </w:rPr>
        <w:tab/>
        <w:t>88</w:t>
      </w:r>
      <w:r>
        <w:rPr>
          <w:rStyle w:val="17"/>
          <w:rFonts w:hint="eastAsia" w:ascii="仿宋" w:hAnsi="仿宋" w:eastAsia="仿宋" w:cs="仿宋"/>
          <w:b w:val="0"/>
          <w:bCs w:val="0"/>
          <w:spacing w:val="-4"/>
          <w:sz w:val="32"/>
          <w:szCs w:val="32"/>
        </w:rPr>
        <w:tab/>
        <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（二）评价结论</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2023年法律服务经费项目资金达到了年初设立的绩效目标，在实施过程中取得了良好的成效，具体表现在以下几点：</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项目实施的效益进行描述</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通过本项目的实施2023年已完成开展法律服务村（社区）数量117个，基层法律服务人数40人，通过聘请各乡镇（街道）基层法律服务所提供法律服务，通过法制讲座，以案说法等方式，协助村（社区）开展宪法和婚姻家庭，物权，物业管理，公证，交通安全和生产安全等与村（居）民密切相关的法律法规宣传，开展“法律村（社区）”活动。</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全年法律服务经费项目支出共计0万元，评价得分值88分。</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本项目的立项符合相关法规政策及部门职责，依据充分；项目按照规定的程序申请设立；审批文件、材料符合相关要求；项目前期已经过必要的可行性研究、专家论证、风险评估、绩效评估、集体决策。</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项目在资金投入方面，预算编制经过科学论证、有明确标准，资金额度与年度目标相适应，用以反映和考核项目预算编制的科学性、合理性情况。项目预算资金分配有测算依据，与项目单位或地方实际相适应。</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1．资金管理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在资金管理方面，项目资金到位足额及时，并及时支付。资金使用符合国家法规和财务管理制度；资金拨付有完整的审批程序和手续，符合项目预算批复或合同规定的用途；不存在截留、挤占、挪用、虚列支出等情况。</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2．项目实施</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（1）项目管理制度建设方面</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对项目申请进行严格审核、筛选。根据拟申请预算项目，从相关性、预期绩效的可实现性、实施方案的有效性、预期绩效的可持续性及财政资金投入的可行性风险五个方面进行客观、公正的评估。</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评估结果作为申报2025年法律服务经费项目预算依据。继而进行该项目支出预算的编制、执行和上报等工作。在项目预算的编制工程中，坚持履行政府职能方面的轻重缓急程度进行先后排序，坚持对法律服务经费项目先进行论证，结合论证情况编制预算，最后由预算部门结合财力情况进行预算安排或追加。</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（2）日常检查监督管理方面</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完善监管规章制度。在项目预算的执行过程中，会同阿图什市财政局从资金申请、资金使用、会计核算三个环节加强资金管理。在项目资金申请环节，负责科室严格按照国库集中支付流程向市财政局申请财政资金，我局通过召开党组会议确定法律服务经费项目组织形式，明确了该项目经费的开支范围为法律服务资金，严格做到专款专用，责任到人。在资金使用环节，严格遵守相关规定，严格按照我局资金财务审批流程办理款项支付。在会计核算环节，对本项目资金实际单独核算，确保部门预算资金专款专用。</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（3）运用财务内控系统实时监管</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年初将财政批复的部门预算资金预算指标整体导入，对预算指标按照项目分类，从数量、质量、时效、满意度等方面分别进行管理控制，监控、</w:t>
      </w:r>
      <w:r>
        <w:rPr>
          <w:rStyle w:val="17"/>
          <w:rFonts w:hint="eastAsia" w:ascii="仿宋" w:hAnsi="仿宋" w:eastAsia="仿宋" w:cs="仿宋"/>
          <w:b w:val="0"/>
          <w:bCs w:val="0"/>
          <w:spacing w:val="-4"/>
          <w:sz w:val="32"/>
          <w:szCs w:val="32"/>
          <w:lang w:eastAsia="zh-CN"/>
        </w:rPr>
        <w:t>掌</w:t>
      </w:r>
      <w:bookmarkStart w:id="0" w:name="_GoBack"/>
      <w:bookmarkEnd w:id="0"/>
      <w:r>
        <w:rPr>
          <w:rStyle w:val="17"/>
          <w:rFonts w:hint="eastAsia" w:ascii="仿宋" w:hAnsi="仿宋" w:eastAsia="仿宋" w:cs="仿宋"/>
          <w:b w:val="0"/>
          <w:bCs w:val="0"/>
          <w:spacing w:val="-4"/>
          <w:sz w:val="32"/>
          <w:szCs w:val="32"/>
        </w:rPr>
        <w:t>握预算实时信息，通过不定期检查预算执行情况，增强预算指标刚性。</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4）依照财政资金管理制度，按照不定期检查与项目周期检查相结合的方式，对财政资金的使用情况进行监督检查。重点督查专项资金的使用进度，资金落实情况，对发现的问题，采取措施及时纠正、强化管理，有效杜绝了专项资金在分配使用过程中的违纪违规现象的发生，确保专项资金安全使用。</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2023年法律服务经费项目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本次评价认为：该项目组织机构设置合理，政策及管理办法基本完善，所有项目均按照流程执行，中期有检查，后期有验收。</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1．数量指标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数量指标为开展法律服务村（社区）数量，预期指标值是等于117个，实际完成值是等于117个，指标达到预期目标。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数量指标为基层法律服务人数，预期指标值是大于等于40人，实际完成值是等于40人，指标达到预期目标。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2．质量指标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质量指标为人员培训出勤率，预期指标值是大于等于95%，实际完成值是等于95%，指标达到预期目标。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质量指标为法律服务覆盖率，预期指标值是等于100%，实际完成值是等于100%，指标达到预期目标。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3．时效指标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时效指标为法律服务时限，预期指标值是大于等于8小时/人，实际完成值是等于8小时/人，指标达到预期目标。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时效指标为法制宣传工作及时率，预期指标值是等于100%，实际完成值是等于100%，指标达到预期目标。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4．项目成本情况</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（1）经济成本指标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经济成本指标为村（社区）法律经费标准，预期指标值是等于1万元/个，实际完成值是等于0万元/个，指标未达到预期目标。原因：支付手续不完整。措施：完善支付手续，保障资金完成支付。</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（2）社会成本指标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无。</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（3）生态环境成本指标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1．经济效益指标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无。</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2．社会效益指标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项目实施产生的社会效益指标为提高群众法治意识，预期指标值是增强，实际完成值是增强，指标达到预期目标。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3．生态效益指标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无。</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4．满意度指标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满意度指标为群众满意度，预期指标值是大于等于95%，实际完成值是等于95%，指标达到预期目标。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本项目实施效果较好的原因主要是管理制度完善、责任落实到位，跟踪考核机制完善且运行有效，在项目实施过程中创新管理办法，采用成本效益分析法、因素分析法、最低成本法使项目取得了良好的效果。</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（二）存在的问题及原因分析</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原因：项目支付手续安排计划不完整，导致项目设置指标存在偏差，未达到预期目标。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预算编制工作，认真做好预算的编制。全面编制预算项目，优先保障固定性的、相对刚性的费用支出项目，尽量压缩变动性的、有控制空间的费用项目，进一步提高预算编制的科学性、严谨性和可控性。</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开展进度的跟踪，确保项目绩效目标的完成。规范程序，严格把关。进一步完善项目申报、审核、公示、审批等程序，严格审核切实做好项目信息公开，公开内容要及时、完整、真实，确保项目公平、公开、公正。</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健全制度，加强督促。针对项目实施中存在的问题，进一步完善相关制度，加强督促检查，确保质量安全和建设进度；同时及时完善资料。</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1B875EF0"/>
    <w:rsid w:val="2AE11386"/>
    <w:rsid w:val="2D4C6AD2"/>
    <w:rsid w:val="2D5A6638"/>
    <w:rsid w:val="340D5924"/>
    <w:rsid w:val="43B04001"/>
    <w:rsid w:val="45687296"/>
    <w:rsid w:val="4609551D"/>
    <w:rsid w:val="4D2606A1"/>
    <w:rsid w:val="4DD42C22"/>
    <w:rsid w:val="50796DE0"/>
    <w:rsid w:val="538A1D07"/>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49</TotalTime>
  <ScaleCrop>false</ScaleCrop>
  <LinksUpToDate>false</LinksUpToDate>
  <CharactersWithSpaces>721</CharactersWithSpaces>
  <Application>WPS Office_10.8.2.6948_F1E327BC-269C-435d-A152-05C5408002CA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2024-11-22T11:46:33Z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2052-10.8.2.6948</vt:lpwstr>
  </property>
</Properties>
</file>