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2023年市直机关党员培训费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中共阿图什市委员会直属机关工作委员会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中共阿图什市委员会直属机关工作委员会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郭红超</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w:t>
      </w:r>
      <w:r>
        <w:rPr>
          <w:rStyle w:val="18"/>
          <w:rFonts w:hint="eastAsia" w:ascii="仿宋" w:hAnsi="仿宋" w:eastAsia="仿宋" w:cs="仿宋"/>
          <w:b w:val="0"/>
          <w:bCs w:val="0"/>
          <w:spacing w:val="-4"/>
          <w:sz w:val="32"/>
          <w:szCs w:val="32"/>
          <w:lang w:val="en-US" w:eastAsia="zh-CN"/>
        </w:rPr>
        <w:t>照</w:t>
      </w:r>
      <w:r>
        <w:rPr>
          <w:rStyle w:val="18"/>
          <w:rFonts w:hint="eastAsia" w:ascii="仿宋" w:hAnsi="仿宋" w:eastAsia="仿宋" w:cs="仿宋"/>
          <w:b w:val="0"/>
          <w:bCs w:val="0"/>
          <w:spacing w:val="-4"/>
          <w:sz w:val="32"/>
          <w:szCs w:val="32"/>
        </w:rPr>
        <w:t>中共阿图什市委员会机构编制委员会关于印发《中共阿图什市委员会直属机关工作委员会职能配置、内设机构和人员编制规定》的通知要求，结合本单位统一组织、规划、部署阿图什市直属机关党的工作方面管理职能，指导直属机关各级党组织加强基层组织建设，做好</w:t>
      </w:r>
      <w:r>
        <w:rPr>
          <w:rStyle w:val="18"/>
          <w:rFonts w:hint="eastAsia" w:ascii="仿宋" w:hAnsi="仿宋" w:eastAsia="仿宋" w:cs="仿宋"/>
          <w:b w:val="0"/>
          <w:bCs w:val="0"/>
          <w:spacing w:val="-4"/>
          <w:sz w:val="32"/>
          <w:szCs w:val="32"/>
          <w:lang w:eastAsia="zh-CN"/>
        </w:rPr>
        <w:t>发展党员</w:t>
      </w:r>
      <w:r>
        <w:rPr>
          <w:rStyle w:val="18"/>
          <w:rFonts w:hint="eastAsia" w:ascii="仿宋" w:hAnsi="仿宋" w:eastAsia="仿宋" w:cs="仿宋"/>
          <w:b w:val="0"/>
          <w:bCs w:val="0"/>
          <w:spacing w:val="-4"/>
          <w:sz w:val="32"/>
          <w:szCs w:val="32"/>
        </w:rPr>
        <w:t>、教育和管理等工作和协同有关部门指导、规划、协调、监督、检查阿图什市直属机关干部教育培训工作，培训轮训阿图什市直属机关科级以下党员领导干部、党务干部及</w:t>
      </w:r>
      <w:r>
        <w:rPr>
          <w:rStyle w:val="18"/>
          <w:rFonts w:hint="eastAsia" w:ascii="仿宋" w:hAnsi="仿宋" w:eastAsia="仿宋" w:cs="仿宋"/>
          <w:b w:val="0"/>
          <w:bCs w:val="0"/>
          <w:spacing w:val="-4"/>
          <w:sz w:val="32"/>
          <w:szCs w:val="32"/>
          <w:lang w:eastAsia="zh-CN"/>
        </w:rPr>
        <w:t>发展党员</w:t>
      </w:r>
      <w:r>
        <w:rPr>
          <w:rStyle w:val="18"/>
          <w:rFonts w:hint="eastAsia" w:ascii="仿宋" w:hAnsi="仿宋" w:eastAsia="仿宋" w:cs="仿宋"/>
          <w:b w:val="0"/>
          <w:bCs w:val="0"/>
          <w:spacing w:val="-4"/>
          <w:sz w:val="32"/>
          <w:szCs w:val="32"/>
        </w:rPr>
        <w:t>对象方面工作职责，按照年度工作计划，开展市直机关党员培训项目。立项依据：为进一步筑牢机关党建工作基础，激发党员干部的积极性，进一步提高机关党组织的战斗力、凝聚力和创造力，有力地推动阿图什党建工作的创新发展，提升机关党建科学化水平。本项目立项依据为：《中国共产党支部工作条例（试行）》、《发展党员规则》《阿图什市2023年干部教育培训工作方案》、《关于将市直机关党员培训经费纳入2023年度财政预算的请示》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项目实施内容：根据关于</w:t>
      </w:r>
      <w:r>
        <w:rPr>
          <w:rStyle w:val="18"/>
          <w:rFonts w:hint="eastAsia" w:ascii="仿宋" w:hAnsi="仿宋" w:eastAsia="仿宋" w:cs="仿宋"/>
          <w:b w:val="0"/>
          <w:bCs w:val="0"/>
          <w:spacing w:val="-4"/>
          <w:sz w:val="32"/>
          <w:szCs w:val="32"/>
          <w:lang w:eastAsia="zh-CN"/>
        </w:rPr>
        <w:t>印</w:t>
      </w:r>
      <w:r>
        <w:rPr>
          <w:rStyle w:val="18"/>
          <w:rFonts w:hint="eastAsia" w:ascii="仿宋" w:hAnsi="仿宋" w:eastAsia="仿宋" w:cs="仿宋"/>
          <w:b w:val="0"/>
          <w:bCs w:val="0"/>
          <w:spacing w:val="-4"/>
          <w:sz w:val="32"/>
          <w:szCs w:val="32"/>
        </w:rPr>
        <w:t>发《阿图什市2023年干部教育培训工作方案》的通知，本项目计划投入30万元，主要用于市直机关党组织入党积极分子、发展对象、党务工作者、党组织书记进行党的知识相关培训，培训人数281人，组织党建培训次数2次，本项目的实施有利于提升党组织书记、党务工作</w:t>
      </w:r>
      <w:r>
        <w:rPr>
          <w:rStyle w:val="18"/>
          <w:rFonts w:hint="eastAsia" w:ascii="仿宋" w:hAnsi="仿宋" w:eastAsia="仿宋" w:cs="仿宋"/>
          <w:b w:val="0"/>
          <w:bCs w:val="0"/>
          <w:spacing w:val="-4"/>
          <w:sz w:val="32"/>
          <w:szCs w:val="32"/>
          <w:lang w:eastAsia="zh-CN"/>
        </w:rPr>
        <w:t>者</w:t>
      </w:r>
      <w:r>
        <w:rPr>
          <w:rStyle w:val="18"/>
          <w:rFonts w:hint="eastAsia" w:ascii="仿宋" w:hAnsi="仿宋" w:eastAsia="仿宋" w:cs="仿宋"/>
          <w:b w:val="0"/>
          <w:bCs w:val="0"/>
          <w:spacing w:val="-4"/>
          <w:sz w:val="32"/>
          <w:szCs w:val="32"/>
        </w:rPr>
        <w:t>的业务能力和水平，增强抓好党建工作的责任心和使命感；端正入党积极分子、</w:t>
      </w:r>
      <w:r>
        <w:rPr>
          <w:rStyle w:val="18"/>
          <w:rFonts w:hint="eastAsia" w:ascii="仿宋" w:hAnsi="仿宋" w:eastAsia="仿宋" w:cs="仿宋"/>
          <w:b w:val="0"/>
          <w:bCs w:val="0"/>
          <w:spacing w:val="-4"/>
          <w:sz w:val="32"/>
          <w:szCs w:val="32"/>
          <w:lang w:eastAsia="zh-CN"/>
        </w:rPr>
        <w:t>发展党员</w:t>
      </w:r>
      <w:r>
        <w:rPr>
          <w:rStyle w:val="18"/>
          <w:rFonts w:hint="eastAsia" w:ascii="仿宋" w:hAnsi="仿宋" w:eastAsia="仿宋" w:cs="仿宋"/>
          <w:b w:val="0"/>
          <w:bCs w:val="0"/>
          <w:spacing w:val="-4"/>
          <w:sz w:val="32"/>
          <w:szCs w:val="32"/>
        </w:rPr>
        <w:t>对象入党动机，提高对党的基本知识的学习和理解，深化对党的认识，确保发展党员质量。通过该项目实施达到筑牢机关党建工作基础，激发党员干部的积极性，进一步提高机关党组织的战斗力、凝聚力和创造力，有力地推动阿图什</w:t>
      </w:r>
      <w:r>
        <w:rPr>
          <w:rStyle w:val="18"/>
          <w:rFonts w:hint="eastAsia" w:ascii="仿宋" w:hAnsi="仿宋" w:eastAsia="仿宋" w:cs="仿宋"/>
          <w:b w:val="0"/>
          <w:bCs w:val="0"/>
          <w:spacing w:val="-4"/>
          <w:sz w:val="32"/>
          <w:szCs w:val="32"/>
          <w:lang w:val="en-US" w:eastAsia="zh-CN"/>
        </w:rPr>
        <w:t>市</w:t>
      </w:r>
      <w:r>
        <w:rPr>
          <w:rStyle w:val="18"/>
          <w:rFonts w:hint="eastAsia" w:ascii="仿宋" w:hAnsi="仿宋" w:eastAsia="仿宋" w:cs="仿宋"/>
          <w:b w:val="0"/>
          <w:bCs w:val="0"/>
          <w:spacing w:val="-4"/>
          <w:sz w:val="32"/>
          <w:szCs w:val="32"/>
        </w:rPr>
        <w:t>党建工作的创新发展，提升机关党建科学化水平效果。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 中共阿图什市委员会直属机关工作委员会,实施单位为 中共阿图什市委员会直属机关工作委员会，主要职责：深入开展以树立社会主义荣辱观为主题教育活动。在去年教育活动的基础上，把以践行“八荣八耻〞为主要内容的社会主义荣辱观教育活动与构建社会主义和谐社会有机结合起来，与践行公共卫生基本首先规范结合起来，自学践行社会主义</w:t>
      </w:r>
      <w:bookmarkStart w:id="0" w:name="_GoBack"/>
      <w:bookmarkEnd w:id="0"/>
      <w:r>
        <w:rPr>
          <w:rStyle w:val="18"/>
          <w:rFonts w:hint="eastAsia" w:ascii="仿宋" w:hAnsi="仿宋" w:eastAsia="仿宋" w:cs="仿宋"/>
          <w:b w:val="0"/>
          <w:bCs w:val="0"/>
          <w:spacing w:val="-4"/>
          <w:sz w:val="32"/>
          <w:szCs w:val="32"/>
        </w:rPr>
        <w:t>荣辱观，不断提高广大青少年的思想首先素质。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资金投入情况：本项目总投资30万元，资金来源为本级部门年初预算。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资金使用情况：根据项目实施情况，项目资金实际支付12万元，资金执行率达到40%。具体使用情况如下：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组织党建培训成本：12万元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w:t>
      </w:r>
      <w:r>
        <w:rPr>
          <w:rStyle w:val="18"/>
          <w:rFonts w:hint="eastAsia" w:ascii="仿宋" w:hAnsi="仿宋" w:eastAsia="仿宋" w:cs="仿宋"/>
          <w:b w:val="0"/>
          <w:bCs w:val="0"/>
          <w:spacing w:val="-4"/>
          <w:sz w:val="32"/>
          <w:szCs w:val="32"/>
          <w:lang w:eastAsia="zh-CN"/>
        </w:rPr>
        <w:t>印</w:t>
      </w:r>
      <w:r>
        <w:rPr>
          <w:rStyle w:val="18"/>
          <w:rFonts w:hint="eastAsia" w:ascii="仿宋" w:hAnsi="仿宋" w:eastAsia="仿宋" w:cs="仿宋"/>
          <w:b w:val="0"/>
          <w:bCs w:val="0"/>
          <w:spacing w:val="-4"/>
          <w:sz w:val="32"/>
          <w:szCs w:val="32"/>
        </w:rPr>
        <w:t>发《阿图什市2023年干部教育培训工作方案》的通知，本项目计划投入30万元，主要用于市直机关党组织入党积极分子、发展对象、党务工作者、党组织书记进行党的知识相关培训，培训人数281人，组织党建培训次数2次，本项目的实施有利于提升党组织书记、党务工作</w:t>
      </w:r>
      <w:r>
        <w:rPr>
          <w:rStyle w:val="18"/>
          <w:rFonts w:hint="eastAsia" w:ascii="仿宋" w:hAnsi="仿宋" w:eastAsia="仿宋" w:cs="仿宋"/>
          <w:b w:val="0"/>
          <w:bCs w:val="0"/>
          <w:spacing w:val="-4"/>
          <w:sz w:val="32"/>
          <w:szCs w:val="32"/>
          <w:lang w:eastAsia="zh-CN"/>
        </w:rPr>
        <w:t>者</w:t>
      </w:r>
      <w:r>
        <w:rPr>
          <w:rStyle w:val="18"/>
          <w:rFonts w:hint="eastAsia" w:ascii="仿宋" w:hAnsi="仿宋" w:eastAsia="仿宋" w:cs="仿宋"/>
          <w:b w:val="0"/>
          <w:bCs w:val="0"/>
          <w:spacing w:val="-4"/>
          <w:sz w:val="32"/>
          <w:szCs w:val="32"/>
        </w:rPr>
        <w:t>的业务能力和水平，增强抓好党建工作的责任心和使命感；端正入党积极分子、</w:t>
      </w:r>
      <w:r>
        <w:rPr>
          <w:rStyle w:val="18"/>
          <w:rFonts w:hint="eastAsia" w:ascii="仿宋" w:hAnsi="仿宋" w:eastAsia="仿宋" w:cs="仿宋"/>
          <w:b w:val="0"/>
          <w:bCs w:val="0"/>
          <w:spacing w:val="-4"/>
          <w:sz w:val="32"/>
          <w:szCs w:val="32"/>
          <w:lang w:eastAsia="zh-CN"/>
        </w:rPr>
        <w:t>发展党员</w:t>
      </w:r>
      <w:r>
        <w:rPr>
          <w:rStyle w:val="18"/>
          <w:rFonts w:hint="eastAsia" w:ascii="仿宋" w:hAnsi="仿宋" w:eastAsia="仿宋" w:cs="仿宋"/>
          <w:b w:val="0"/>
          <w:bCs w:val="0"/>
          <w:spacing w:val="-4"/>
          <w:sz w:val="32"/>
          <w:szCs w:val="32"/>
        </w:rPr>
        <w:t>对象入党动机，提高对党的基本知识的学习和理解，深化对党的认识，确保发展党员质量。通过该项目实施达到筑牢机关党建工作基础，激发党员干部的积极性，进一步提高机关党组织的战斗力、凝聚力和创造力，有力地推动阿图什党建工作的创新发展，提升机关党建科学化水平效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市直机关党员培训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市直机关党员培训费项目的管理绩效，了解和掌握2023年市直机关党员培训费项目资金的具体情况，评价该项目资金安排的科学性、合理性、规范性和资金的使用成效，及时总结项目管理经验，完善项目管理办法，提高项目管理水平和资金使用效益。促使项目承担单位 中共阿图什市委员会直属机关工作委员会根据绩效评价中发现的问题，认真加以整改，及时调整和完善单位的工作计划和绩效目标并加强2023年市直机关党员培训费项目管理，提高管理水平，同时为项目后续资金投入、分配和管理提供决策依据。同时将绩效评价结果与项目预算挂钩，为2024年度2023年市直机关党员培训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对2023年市直机关党员培训费项目从预算编制合理性、资金使用合规性、项目管理的规范性、实施情况、总体绩效目标、各项绩效指标完成情况以及预算执行情况进行科学性评价。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市直机关党员培训费项目的深入调研基础上，按照《项目支出绩效评价管理办法》（财预〔2020〕10号）对于指标体系的要求和规范，建立一套适合评价2023年市直机关党员培训费项目的指标体系，从项目决策、项目过程、项目产出和项目绩效四个维度全面考察2023年市直机关党员培训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2023年市直机关党员培训费项目属于业务类项目，有相应的行业标准和历史标准，故采用计划标准、行业标准、历史标准评价该项目。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郭红超</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王艳艳</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宋雷</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市直机关党员培训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市直机关党员培训费项目综合得分为90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2023年市直机关党员培训费项目评价得分情况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2023年市直机关党员培训费项目资金达到了年初设立的绩效目标，在实施过程中取得了良好的成效，具体表现在以下几点：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本项目共计支出12万元，主要用于市直机关党组织入党积极分子、发展对象、党务工作者、党组织书记进行党的知识相关培训，培训人数281人，组织党建培训次数2次，通过项目的实施提升党组织书记、党务工作</w:t>
      </w:r>
      <w:r>
        <w:rPr>
          <w:rStyle w:val="18"/>
          <w:rFonts w:hint="eastAsia" w:ascii="仿宋" w:hAnsi="仿宋" w:eastAsia="仿宋" w:cs="仿宋"/>
          <w:b w:val="0"/>
          <w:bCs w:val="0"/>
          <w:spacing w:val="-4"/>
          <w:sz w:val="32"/>
          <w:szCs w:val="32"/>
          <w:lang w:eastAsia="zh-CN"/>
        </w:rPr>
        <w:t>者</w:t>
      </w:r>
      <w:r>
        <w:rPr>
          <w:rStyle w:val="18"/>
          <w:rFonts w:hint="eastAsia" w:ascii="仿宋" w:hAnsi="仿宋" w:eastAsia="仿宋" w:cs="仿宋"/>
          <w:b w:val="0"/>
          <w:bCs w:val="0"/>
          <w:spacing w:val="-4"/>
          <w:sz w:val="32"/>
          <w:szCs w:val="32"/>
        </w:rPr>
        <w:t>的业务能力和水平，增强抓好党建工作的责任心和使命感；端正入党积极分子、</w:t>
      </w:r>
      <w:r>
        <w:rPr>
          <w:rStyle w:val="18"/>
          <w:rFonts w:hint="eastAsia" w:ascii="仿宋" w:hAnsi="仿宋" w:eastAsia="仿宋" w:cs="仿宋"/>
          <w:b w:val="0"/>
          <w:bCs w:val="0"/>
          <w:spacing w:val="-4"/>
          <w:sz w:val="32"/>
          <w:szCs w:val="32"/>
          <w:lang w:eastAsia="zh-CN"/>
        </w:rPr>
        <w:t>发展党员</w:t>
      </w:r>
      <w:r>
        <w:rPr>
          <w:rStyle w:val="18"/>
          <w:rFonts w:hint="eastAsia" w:ascii="仿宋" w:hAnsi="仿宋" w:eastAsia="仿宋" w:cs="仿宋"/>
          <w:b w:val="0"/>
          <w:bCs w:val="0"/>
          <w:spacing w:val="-4"/>
          <w:sz w:val="32"/>
          <w:szCs w:val="32"/>
        </w:rPr>
        <w:t>对象入党动机，提高对党的基本知识的学习和理解，深化对党的认识，确保发展党员质量。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全年2023年市直机关党员培训费项目支出共计12万元，评价得分值90分。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市直机关党员培训费项目预算依据。继而进行该项目支出预算的编制、执行和上报等工作。在项目预算的编制工程中，坚持履行政府职能方面的轻重缓急程度进行先后排序，坚持对2023年市直机关党员培训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2023年市直机关党员培训费项目组织形式，明确了该项目经费的开支范围为2023年市直机关党员培训费，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市直机关党员培训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数量指标为参加党员干部培训人数，预期指标值是大于等于281人，实际完成值是281人，指标达到预期目标。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数量指标为组织党建培训次数，预期指标值是2次，实际完成值是2次，指标达到预期目标。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质量指标为培训合格率，预期指标值是100%，实际完成值是100%，指标达到预期目标。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质量指标为培训人员出勤率，预期指标值是100%，实际完成值是100%，指标达到预期目标。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时效指标为培训按期完成率，预期指标值是100%，实际完成值是100%，指标达到预期目标。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组织党建培训成本，预期指标值是小于等于15万元/次，实际完成值是6.3万元/次，指标未达到预期目标，原因：第二次开展培训时间为年底，上报资金支付资料较晚，导致项目资金支付率偏低；措施：下一年度合理安排时间，及时开展各项工作，减少偏差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项目实施产生的社会效益指标为推动阿图什党建工作创新发展，预期指标值是有效推动，实际完成值是有效推动，指标达到预期目标。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满意度指标为参加培训人员满意度，预期指标值是大于等于95%，实际完成值是95%，指标达到预期目标。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由于第二次开展培训时间为年底，上报资金支付资料较晚，导致项目资金支付率偏低；下一年度合理安排时间，及时开展各项工作，减少偏差率。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0B2D2608"/>
    <w:rsid w:val="1B5744E8"/>
    <w:rsid w:val="1B922D5C"/>
    <w:rsid w:val="26DF3F69"/>
    <w:rsid w:val="2AE11386"/>
    <w:rsid w:val="2D4C6AD2"/>
    <w:rsid w:val="2D5A6638"/>
    <w:rsid w:val="2F997387"/>
    <w:rsid w:val="340D5924"/>
    <w:rsid w:val="43B04001"/>
    <w:rsid w:val="45687296"/>
    <w:rsid w:val="4609551D"/>
    <w:rsid w:val="4D2606A1"/>
    <w:rsid w:val="4DD42C22"/>
    <w:rsid w:val="50796DE0"/>
    <w:rsid w:val="58CB24E2"/>
    <w:rsid w:val="5DA70C36"/>
    <w:rsid w:val="716B6B6A"/>
    <w:rsid w:val="7C7B6554"/>
    <w:rsid w:val="7DD93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124</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2024-11-28T09:56:10Z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21049E3CD5F043A3BFBED0A995921160</vt:lpwstr>
  </property>
</Properties>
</file>