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4"/>
          <w:rFonts w:hint="eastAsia" w:ascii="方正小标宋简体" w:hAnsi="方正小标宋简体" w:eastAsia="方正小标宋简体" w:cs="方正小标宋简体"/>
          <w:color w:val="333333"/>
          <w:kern w:val="0"/>
          <w:sz w:val="44"/>
          <w:szCs w:val="4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4"/>
          <w:rFonts w:hint="eastAsia" w:ascii="方正小标宋简体" w:hAnsi="方正小标宋简体" w:eastAsia="方正小标宋简体" w:cs="方正小标宋简体"/>
          <w:color w:val="333333"/>
          <w:kern w:val="0"/>
          <w:sz w:val="44"/>
          <w:szCs w:val="4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color w:val="333333"/>
          <w:sz w:val="44"/>
          <w:szCs w:val="44"/>
        </w:rPr>
      </w:pPr>
      <w:bookmarkStart w:id="0" w:name="_GoBack"/>
      <w:bookmarkEnd w:id="0"/>
      <w:r>
        <w:rPr>
          <w:rStyle w:val="4"/>
          <w:rFonts w:hint="eastAsia" w:ascii="方正小标宋简体" w:hAnsi="方正小标宋简体" w:eastAsia="方正小标宋简体" w:cs="方正小标宋简体"/>
          <w:color w:val="333333"/>
          <w:kern w:val="0"/>
          <w:sz w:val="44"/>
          <w:szCs w:val="44"/>
          <w:lang w:val="en-US" w:eastAsia="zh-CN" w:bidi="ar"/>
        </w:rPr>
        <w:t>国家发展改革委关于第三监管周期省级电网输配电价及有关事项的通知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jc w:val="center"/>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kern w:val="0"/>
          <w:sz w:val="28"/>
          <w:szCs w:val="28"/>
          <w:lang w:val="en-US" w:eastAsia="zh-CN" w:bidi="ar"/>
        </w:rPr>
        <w:t>发改价格〔2023〕526号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kern w:val="0"/>
          <w:sz w:val="28"/>
          <w:szCs w:val="28"/>
          <w:lang w:val="en-US" w:eastAsia="zh-CN" w:bidi="ar"/>
        </w:rPr>
        <w:br w:type="textWrapping"/>
      </w:r>
      <w:r>
        <w:rPr>
          <w:rFonts w:hint="eastAsia" w:ascii="仿宋_GB2312" w:hAnsi="仿宋_GB2312" w:eastAsia="仿宋_GB2312" w:cs="仿宋_GB2312"/>
          <w:color w:val="333333"/>
          <w:kern w:val="0"/>
          <w:sz w:val="28"/>
          <w:szCs w:val="28"/>
          <w:lang w:val="en-US" w:eastAsia="zh-CN" w:bidi="ar"/>
        </w:rPr>
        <w:t>各省、自治区、直辖市发展改革委，国家电网有限公司、中国南方电网有限责任公司、内蒙古电力（集团）有限责任公司：</w:t>
      </w:r>
      <w:r>
        <w:rPr>
          <w:rFonts w:hint="eastAsia" w:ascii="仿宋_GB2312" w:hAnsi="仿宋_GB2312" w:eastAsia="仿宋_GB2312" w:cs="仿宋_GB2312"/>
          <w:color w:val="333333"/>
          <w:kern w:val="0"/>
          <w:sz w:val="28"/>
          <w:szCs w:val="28"/>
          <w:lang w:val="en-US" w:eastAsia="zh-CN" w:bidi="ar"/>
        </w:rPr>
        <w:br w:type="textWrapping"/>
      </w:r>
      <w:r>
        <w:rPr>
          <w:rFonts w:hint="eastAsia" w:ascii="仿宋_GB2312" w:hAnsi="仿宋_GB2312" w:eastAsia="仿宋_GB2312" w:cs="仿宋_GB2312"/>
          <w:color w:val="333333"/>
          <w:kern w:val="0"/>
          <w:sz w:val="28"/>
          <w:szCs w:val="28"/>
          <w:lang w:val="en-US" w:eastAsia="zh-CN" w:bidi="ar"/>
        </w:rPr>
        <w:t>  为进一步深化输配电价改革，更好保障电力安全稳定供应，推动电力行业高质量发展，现就第三监管周期省级电网输配电价及有关事项通知如下：</w:t>
      </w:r>
      <w:r>
        <w:rPr>
          <w:rFonts w:hint="eastAsia" w:ascii="仿宋_GB2312" w:hAnsi="仿宋_GB2312" w:eastAsia="仿宋_GB2312" w:cs="仿宋_GB2312"/>
          <w:color w:val="333333"/>
          <w:kern w:val="0"/>
          <w:sz w:val="28"/>
          <w:szCs w:val="28"/>
          <w:lang w:val="en-US" w:eastAsia="zh-CN" w:bidi="ar"/>
        </w:rPr>
        <w:br w:type="textWrapping"/>
      </w:r>
      <w:r>
        <w:rPr>
          <w:rFonts w:hint="eastAsia" w:ascii="仿宋_GB2312" w:hAnsi="仿宋_GB2312" w:eastAsia="仿宋_GB2312" w:cs="仿宋_GB2312"/>
          <w:color w:val="333333"/>
          <w:kern w:val="0"/>
          <w:sz w:val="28"/>
          <w:szCs w:val="28"/>
          <w:lang w:val="en-US" w:eastAsia="zh-CN" w:bidi="ar"/>
        </w:rPr>
        <w:t>  一、按照《国家发展改革委 国家能源局关于印发&lt;输配电定价成本监审办法&gt;的通知》（发改价格规〔2019〕897号）、《国家发展改革委关于印发&lt;省级电网输配电价定价办法&gt;的通知》（发改价格规〔2020〕101号）及有关规定，核定第三监管周期各省级电网输配电价，具体见附件。</w:t>
      </w:r>
      <w:r>
        <w:rPr>
          <w:rFonts w:hint="eastAsia" w:ascii="仿宋_GB2312" w:hAnsi="仿宋_GB2312" w:eastAsia="仿宋_GB2312" w:cs="仿宋_GB2312"/>
          <w:color w:val="333333"/>
          <w:kern w:val="0"/>
          <w:sz w:val="28"/>
          <w:szCs w:val="28"/>
          <w:lang w:val="en-US" w:eastAsia="zh-CN" w:bidi="ar"/>
        </w:rPr>
        <w:br w:type="textWrapping"/>
      </w:r>
      <w:r>
        <w:rPr>
          <w:rFonts w:hint="eastAsia" w:ascii="仿宋_GB2312" w:hAnsi="仿宋_GB2312" w:eastAsia="仿宋_GB2312" w:cs="仿宋_GB2312"/>
          <w:color w:val="333333"/>
          <w:kern w:val="0"/>
          <w:sz w:val="28"/>
          <w:szCs w:val="28"/>
          <w:lang w:val="en-US" w:eastAsia="zh-CN" w:bidi="ar"/>
        </w:rPr>
        <w:t>  二、用户用电价格逐步归并为居民生活、农业生产及工商业用电（除执行居民生活和农业生产用电价格以外的用电）三类；尚未实现工商业同价的地方，用户用电价格可分为居民生活、农业生产、大工业、一般工商业用电（除执行居民生活、农业生产和大工业用电价格以外的用电）四类。</w:t>
      </w:r>
      <w:r>
        <w:rPr>
          <w:rFonts w:hint="eastAsia" w:ascii="仿宋_GB2312" w:hAnsi="仿宋_GB2312" w:eastAsia="仿宋_GB2312" w:cs="仿宋_GB2312"/>
          <w:color w:val="333333"/>
          <w:kern w:val="0"/>
          <w:sz w:val="28"/>
          <w:szCs w:val="28"/>
          <w:lang w:val="en-US" w:eastAsia="zh-CN" w:bidi="ar"/>
        </w:rPr>
        <w:br w:type="textWrapping"/>
      </w:r>
      <w:r>
        <w:rPr>
          <w:rFonts w:hint="eastAsia" w:ascii="仿宋_GB2312" w:hAnsi="仿宋_GB2312" w:eastAsia="仿宋_GB2312" w:cs="仿宋_GB2312"/>
          <w:color w:val="333333"/>
          <w:kern w:val="0"/>
          <w:sz w:val="28"/>
          <w:szCs w:val="28"/>
          <w:lang w:val="en-US" w:eastAsia="zh-CN" w:bidi="ar"/>
        </w:rPr>
        <w:t>  三、执行工商业（或大工业、一般工商业）用电价格的用户（以下简称工商业用户），用电容量在100千伏安及以下的，执行单一制电价；100千伏安至315千伏安之间的，可选择执行单一制或两部制电价；315千伏安及以上的，执行两部制电价，现执行单一制电价的用户可选择执行单一制电价或两部制电价。选择执行需量电价计费方式的两部制用户，每月每千伏安用电量达到260千瓦时及以上的，当月需量电价按本通知核定标准90%执行。每月每千伏安用电量为用户所属全部计量点当月总用电量除以合同变压器容量。</w:t>
      </w:r>
      <w:r>
        <w:rPr>
          <w:rFonts w:hint="eastAsia" w:ascii="仿宋_GB2312" w:hAnsi="仿宋_GB2312" w:eastAsia="仿宋_GB2312" w:cs="仿宋_GB2312"/>
          <w:color w:val="333333"/>
          <w:kern w:val="0"/>
          <w:sz w:val="28"/>
          <w:szCs w:val="28"/>
          <w:lang w:val="en-US" w:eastAsia="zh-CN" w:bidi="ar"/>
        </w:rPr>
        <w:br w:type="textWrapping"/>
      </w:r>
      <w:r>
        <w:rPr>
          <w:rFonts w:hint="eastAsia" w:ascii="仿宋_GB2312" w:hAnsi="仿宋_GB2312" w:eastAsia="仿宋_GB2312" w:cs="仿宋_GB2312"/>
          <w:color w:val="333333"/>
          <w:kern w:val="0"/>
          <w:sz w:val="28"/>
          <w:szCs w:val="28"/>
          <w:lang w:val="en-US" w:eastAsia="zh-CN" w:bidi="ar"/>
        </w:rPr>
        <w:t>  四、工商业用户用电价格由上网电价、上网环节线损费用、输配电价、系统运行费用、政府性基金及附加组成。</w:t>
      </w:r>
      <w:r>
        <w:rPr>
          <w:rFonts w:hint="eastAsia" w:ascii="仿宋_GB2312" w:hAnsi="仿宋_GB2312" w:eastAsia="仿宋_GB2312" w:cs="仿宋_GB2312"/>
          <w:color w:val="333333"/>
          <w:kern w:val="0"/>
          <w:sz w:val="28"/>
          <w:szCs w:val="28"/>
          <w:lang w:val="en-US" w:eastAsia="zh-CN" w:bidi="ar"/>
        </w:rPr>
        <w:br w:type="textWrapping"/>
      </w:r>
      <w:r>
        <w:rPr>
          <w:rFonts w:hint="eastAsia" w:ascii="仿宋_GB2312" w:hAnsi="仿宋_GB2312" w:eastAsia="仿宋_GB2312" w:cs="仿宋_GB2312"/>
          <w:color w:val="333333"/>
          <w:kern w:val="0"/>
          <w:sz w:val="28"/>
          <w:szCs w:val="28"/>
          <w:lang w:val="en-US" w:eastAsia="zh-CN" w:bidi="ar"/>
        </w:rPr>
        <w:t>  系统运行费用包括辅助服务费用、抽水蓄能容量电费等。</w:t>
      </w:r>
      <w:r>
        <w:rPr>
          <w:rFonts w:hint="eastAsia" w:ascii="仿宋_GB2312" w:hAnsi="仿宋_GB2312" w:eastAsia="仿宋_GB2312" w:cs="仿宋_GB2312"/>
          <w:color w:val="333333"/>
          <w:kern w:val="0"/>
          <w:sz w:val="28"/>
          <w:szCs w:val="28"/>
          <w:lang w:val="en-US" w:eastAsia="zh-CN" w:bidi="ar"/>
        </w:rPr>
        <w:br w:type="textWrapping"/>
      </w:r>
      <w:r>
        <w:rPr>
          <w:rFonts w:hint="eastAsia" w:ascii="仿宋_GB2312" w:hAnsi="仿宋_GB2312" w:eastAsia="仿宋_GB2312" w:cs="仿宋_GB2312"/>
          <w:color w:val="333333"/>
          <w:kern w:val="0"/>
          <w:sz w:val="28"/>
          <w:szCs w:val="28"/>
          <w:lang w:val="en-US" w:eastAsia="zh-CN" w:bidi="ar"/>
        </w:rPr>
        <w:t>  上网环节线损费用按实际购电上网电价和综合线损率计算。电力市场暂不支持用户直接采购线损电量的地方，继续由电网企业代理采购线损电量，代理采购损益按月向全体工商业用户分摊或分享。</w:t>
      </w:r>
      <w:r>
        <w:rPr>
          <w:rFonts w:hint="eastAsia" w:ascii="仿宋_GB2312" w:hAnsi="仿宋_GB2312" w:eastAsia="仿宋_GB2312" w:cs="仿宋_GB2312"/>
          <w:color w:val="333333"/>
          <w:kern w:val="0"/>
          <w:sz w:val="28"/>
          <w:szCs w:val="28"/>
          <w:lang w:val="en-US" w:eastAsia="zh-CN" w:bidi="ar"/>
        </w:rPr>
        <w:br w:type="textWrapping"/>
      </w:r>
      <w:r>
        <w:rPr>
          <w:rFonts w:hint="eastAsia" w:ascii="仿宋_GB2312" w:hAnsi="仿宋_GB2312" w:eastAsia="仿宋_GB2312" w:cs="仿宋_GB2312"/>
          <w:color w:val="333333"/>
          <w:kern w:val="0"/>
          <w:sz w:val="28"/>
          <w:szCs w:val="28"/>
          <w:lang w:val="en-US" w:eastAsia="zh-CN" w:bidi="ar"/>
        </w:rPr>
        <w:t>  五、居民生活、农业生产用电继续执行现行目录销售电价政策。</w:t>
      </w:r>
      <w:r>
        <w:rPr>
          <w:rFonts w:hint="eastAsia" w:ascii="仿宋_GB2312" w:hAnsi="仿宋_GB2312" w:eastAsia="仿宋_GB2312" w:cs="仿宋_GB2312"/>
          <w:color w:val="333333"/>
          <w:kern w:val="0"/>
          <w:sz w:val="28"/>
          <w:szCs w:val="28"/>
          <w:lang w:val="en-US" w:eastAsia="zh-CN" w:bidi="ar"/>
        </w:rPr>
        <w:br w:type="textWrapping"/>
      </w:r>
      <w:r>
        <w:rPr>
          <w:rFonts w:hint="eastAsia" w:ascii="仿宋_GB2312" w:hAnsi="仿宋_GB2312" w:eastAsia="仿宋_GB2312" w:cs="仿宋_GB2312"/>
          <w:color w:val="333333"/>
          <w:kern w:val="0"/>
          <w:sz w:val="28"/>
          <w:szCs w:val="28"/>
          <w:lang w:val="en-US" w:eastAsia="zh-CN" w:bidi="ar"/>
        </w:rPr>
        <w:t>  六、省级价格主管部门要精心组织、周密安排，确保输配电价平稳执行，做好与电网企业代理购电制度等的协同，密切监测输配电价执行情况，发现问题及时报告我委（价格司）。电网企业要按照相关要求，严格执行本通知核定的输配电价，统筹推进电网均衡发展；对各电压等级的资产、费用、收入、输配售电量、负荷、用户报装容量、线损率、投资计划完成进度等与输配电价相关的基础数据进行统计归集，每年5月底前报我委（价格司）和省级价格主管部门。</w:t>
      </w:r>
      <w:r>
        <w:rPr>
          <w:rFonts w:hint="eastAsia" w:ascii="仿宋_GB2312" w:hAnsi="仿宋_GB2312" w:eastAsia="仿宋_GB2312" w:cs="仿宋_GB2312"/>
          <w:color w:val="333333"/>
          <w:kern w:val="0"/>
          <w:sz w:val="28"/>
          <w:szCs w:val="28"/>
          <w:lang w:val="en-US" w:eastAsia="zh-CN" w:bidi="ar"/>
        </w:rPr>
        <w:br w:type="textWrapping"/>
      </w:r>
      <w:r>
        <w:rPr>
          <w:rFonts w:hint="eastAsia" w:ascii="仿宋_GB2312" w:hAnsi="仿宋_GB2312" w:eastAsia="仿宋_GB2312" w:cs="仿宋_GB2312"/>
          <w:color w:val="333333"/>
          <w:kern w:val="0"/>
          <w:sz w:val="28"/>
          <w:szCs w:val="28"/>
          <w:lang w:val="en-US" w:eastAsia="zh-CN" w:bidi="ar"/>
        </w:rPr>
        <w:t>  本通知自2023年6月1日起执行，现行政策相关规定与本通知不符的，以本通知规定为准。</w:t>
      </w:r>
      <w:r>
        <w:rPr>
          <w:rFonts w:hint="eastAsia" w:ascii="仿宋_GB2312" w:hAnsi="仿宋_GB2312" w:eastAsia="仿宋_GB2312" w:cs="仿宋_GB2312"/>
          <w:color w:val="333333"/>
          <w:kern w:val="0"/>
          <w:sz w:val="28"/>
          <w:szCs w:val="28"/>
          <w:lang w:val="en-US" w:eastAsia="zh-CN" w:bidi="ar"/>
        </w:rPr>
        <w:br w:type="textWrapping"/>
      </w:r>
      <w:r>
        <w:rPr>
          <w:rFonts w:hint="eastAsia" w:ascii="仿宋_GB2312" w:hAnsi="仿宋_GB2312" w:eastAsia="仿宋_GB2312" w:cs="仿宋_GB2312"/>
          <w:color w:val="333333"/>
          <w:kern w:val="0"/>
          <w:sz w:val="28"/>
          <w:szCs w:val="28"/>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jc w:val="center"/>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kern w:val="0"/>
          <w:sz w:val="28"/>
          <w:szCs w:val="28"/>
          <w:lang w:val="en-US" w:eastAsia="zh-CN" w:bidi="ar"/>
        </w:rPr>
        <w:t xml:space="preserve">                    国家发展改革委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jc w:val="center"/>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kern w:val="0"/>
          <w:sz w:val="28"/>
          <w:szCs w:val="28"/>
          <w:lang w:val="en-US" w:eastAsia="zh-CN" w:bidi="ar"/>
        </w:rPr>
        <w:t xml:space="preserve">                    2023年5月9日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kern w:val="0"/>
          <w:sz w:val="28"/>
          <w:szCs w:val="28"/>
          <w:lang w:val="en-US" w:eastAsia="zh-CN" w:bidi="ar"/>
        </w:rPr>
        <w:t>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7C3B78"/>
    <w:rsid w:val="1B7C3B78"/>
    <w:rsid w:val="5A311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qFormat/>
    <w:uiPriority w:val="0"/>
    <w:rPr>
      <w:color w:val="333333"/>
      <w:u w:val="none"/>
    </w:rPr>
  </w:style>
  <w:style w:type="character" w:styleId="6">
    <w:name w:val="Emphasis"/>
    <w:basedOn w:val="3"/>
    <w:qFormat/>
    <w:uiPriority w:val="0"/>
  </w:style>
  <w:style w:type="character" w:styleId="7">
    <w:name w:val="Hyperlink"/>
    <w:basedOn w:val="3"/>
    <w:qFormat/>
    <w:uiPriority w:val="0"/>
    <w:rPr>
      <w:color w:val="333333"/>
      <w:u w:val="none"/>
    </w:rPr>
  </w:style>
  <w:style w:type="character" w:customStyle="1" w:styleId="8">
    <w:name w:val="after"/>
    <w:basedOn w:val="3"/>
    <w:qFormat/>
    <w:uiPriority w:val="0"/>
    <w:rPr>
      <w:shd w:val="clear" w:fill="D60000"/>
    </w:rPr>
  </w:style>
  <w:style w:type="character" w:customStyle="1" w:styleId="9">
    <w:name w:val="after1"/>
    <w:basedOn w:val="3"/>
    <w:qFormat/>
    <w:uiPriority w:val="0"/>
  </w:style>
  <w:style w:type="character" w:customStyle="1" w:styleId="10">
    <w:name w:val="after2"/>
    <w:basedOn w:val="3"/>
    <w:qFormat/>
    <w:uiPriority w:val="0"/>
  </w:style>
  <w:style w:type="character" w:customStyle="1" w:styleId="11">
    <w:name w:val="after3"/>
    <w:basedOn w:val="3"/>
    <w:qFormat/>
    <w:uiPriority w:val="0"/>
    <w:rPr>
      <w:vanish/>
    </w:rPr>
  </w:style>
  <w:style w:type="character" w:customStyle="1" w:styleId="12">
    <w:name w:val="selected"/>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76</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2023-05-29T08:59:00Z</dcterms:created>
  <dc:creator>Administrator</dc:creator>
  <cp:lastModifiedBy>Administrator</cp:lastModifiedBy>
  <dcterms:modified xsi:type="dcterms:W3CDTF">2023-05-29T11:08:53Z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