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1044" w:firstLineChars="200"/>
        <w:jc w:val="center"/>
        <w:textAlignment w:val="auto"/>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spacing w:line="700" w:lineRule="exact"/>
        <w:ind w:firstLine="880" w:firstLineChars="200"/>
        <w:jc w:val="center"/>
        <w:textAlignment w:val="auto"/>
        <w:rPr>
          <w:rFonts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lang w:val="en-US" w:eastAsia="zh-CN"/>
        </w:rPr>
        <w:t>克州</w:t>
      </w:r>
      <w:r>
        <w:rPr>
          <w:rFonts w:hint="eastAsia" w:ascii="方正小标宋_GBK" w:hAnsi="方正小标宋_GBK" w:eastAsia="方正小标宋_GBK" w:cs="方正小标宋_GBK"/>
          <w:bCs/>
          <w:kern w:val="0"/>
          <w:sz w:val="44"/>
          <w:szCs w:val="44"/>
        </w:rPr>
        <w:t>阿图什市</w:t>
      </w:r>
      <w:r>
        <w:rPr>
          <w:rFonts w:hint="eastAsia" w:ascii="方正小标宋_GBK" w:hAnsi="方正小标宋_GBK" w:eastAsia="方正小标宋_GBK" w:cs="方正小标宋_GBK"/>
          <w:bCs/>
          <w:kern w:val="0"/>
          <w:sz w:val="44"/>
          <w:szCs w:val="44"/>
          <w:lang w:eastAsia="zh-CN"/>
        </w:rPr>
        <w:t>救助</w:t>
      </w:r>
      <w:r>
        <w:rPr>
          <w:rFonts w:hint="eastAsia" w:ascii="方正小标宋_GBK" w:hAnsi="方正小标宋_GBK" w:eastAsia="方正小标宋_GBK" w:cs="方正小标宋_GBK"/>
          <w:bCs/>
          <w:kern w:val="0"/>
          <w:sz w:val="44"/>
          <w:szCs w:val="44"/>
        </w:rPr>
        <w:t>项目绩效自评报告</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ascii="方正小标宋_GBK" w:hAnsi="方正小标宋_GBK" w:eastAsia="方正小标宋_GBK" w:cs="方正小标宋_GBK"/>
          <w:bCs/>
          <w:kern w:val="0"/>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firstLine="880" w:firstLineChars="200"/>
        <w:jc w:val="center"/>
        <w:textAlignment w:val="auto"/>
        <w:rPr>
          <w:rFonts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（202</w:t>
      </w:r>
      <w:r>
        <w:rPr>
          <w:rFonts w:hint="eastAsia" w:ascii="方正小标宋_GBK" w:hAnsi="方正小标宋_GBK" w:eastAsia="方正小标宋_GBK" w:cs="方正小标宋_GBK"/>
          <w:bCs/>
          <w:kern w:val="0"/>
          <w:sz w:val="44"/>
          <w:szCs w:val="44"/>
          <w:lang w:val="en-US" w:eastAsia="zh-CN"/>
        </w:rPr>
        <w:t>3</w:t>
      </w:r>
      <w:r>
        <w:rPr>
          <w:rFonts w:hint="eastAsia" w:ascii="方正小标宋_GBK" w:hAnsi="方正小标宋_GBK" w:eastAsia="方正小标宋_GBK" w:cs="方正小标宋_GBK"/>
          <w:bCs/>
          <w:kern w:val="0"/>
          <w:sz w:val="44"/>
          <w:szCs w:val="44"/>
        </w:rPr>
        <w:t>年度）</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ascii="方正小标宋_GBK" w:hAnsi="方正小标宋_GBK" w:eastAsia="方正小标宋_GBK" w:cs="方正小标宋_GBK"/>
          <w:kern w:val="0"/>
          <w:sz w:val="44"/>
          <w:szCs w:val="44"/>
          <w:highlight w:val="green"/>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hAnsi="宋体" w:eastAsia="仿宋_GB2312" w:cs="宋体"/>
          <w:kern w:val="0"/>
          <w:sz w:val="30"/>
          <w:szCs w:val="30"/>
        </w:rPr>
      </w:pP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522"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center"/>
        <w:textAlignment w:val="auto"/>
        <w:rPr>
          <w:rFonts w:hint="eastAsia" w:ascii="仿宋_GB2312" w:hAnsi="仿宋_GB2312" w:eastAsia="仿宋_GB2312" w:cs="仿宋_GB2312"/>
          <w:kern w:val="0"/>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center"/>
        <w:textAlignment w:val="auto"/>
        <w:rPr>
          <w:rFonts w:hint="eastAsia" w:ascii="仿宋_GB2312" w:hAnsi="仿宋_GB2312" w:eastAsia="仿宋_GB2312" w:cs="仿宋_GB2312"/>
          <w:kern w:val="0"/>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center"/>
        <w:textAlignment w:val="auto"/>
        <w:rPr>
          <w:rFonts w:hint="eastAsia" w:ascii="仿宋_GB2312" w:hAnsi="仿宋_GB2312" w:eastAsia="仿宋_GB2312" w:cs="仿宋_GB2312"/>
          <w:kern w:val="0"/>
          <w:sz w:val="36"/>
          <w:szCs w:val="36"/>
        </w:rPr>
      </w:pPr>
    </w:p>
    <w:p>
      <w:pPr>
        <w:spacing w:line="560" w:lineRule="exact"/>
        <w:ind w:firstLine="720" w:firstLineChars="200"/>
        <w:rPr>
          <w:rFonts w:ascii="仿宋_GB2312" w:hAnsi="仿宋_GB2312" w:eastAsia="仿宋_GB2312" w:cs="仿宋_GB2312"/>
          <w:color w:val="auto"/>
          <w:sz w:val="36"/>
          <w:szCs w:val="36"/>
        </w:rPr>
      </w:pPr>
      <w:r>
        <w:rPr>
          <w:rFonts w:hint="eastAsia" w:ascii="仿宋_GB2312" w:hAnsi="仿宋_GB2312" w:eastAsia="仿宋_GB2312" w:cs="仿宋_GB2312"/>
          <w:kern w:val="0"/>
          <w:sz w:val="36"/>
          <w:szCs w:val="36"/>
        </w:rPr>
        <w:t>项目名称</w:t>
      </w:r>
      <w:r>
        <w:rPr>
          <w:rFonts w:hint="eastAsia" w:ascii="仿宋_GB2312" w:hAnsi="仿宋_GB2312" w:eastAsia="仿宋_GB2312" w:cs="仿宋_GB2312"/>
          <w:color w:val="auto"/>
          <w:kern w:val="0"/>
          <w:sz w:val="36"/>
          <w:szCs w:val="36"/>
        </w:rPr>
        <w:t>：</w:t>
      </w:r>
      <w:r>
        <w:rPr>
          <w:rFonts w:hint="eastAsia" w:ascii="仿宋_GB2312" w:hAnsi="仿宋_GB2312" w:eastAsia="仿宋_GB2312" w:cs="仿宋_GB2312"/>
          <w:color w:val="auto"/>
          <w:sz w:val="36"/>
          <w:szCs w:val="36"/>
        </w:rPr>
        <w:t>阿图什市茶项目</w:t>
      </w:r>
    </w:p>
    <w:p>
      <w:pPr>
        <w:spacing w:line="560" w:lineRule="exact"/>
        <w:ind w:firstLine="720" w:firstLineChars="200"/>
        <w:rPr>
          <w:rFonts w:hint="eastAsia" w:ascii="仿宋_GB2312" w:hAnsi="仿宋_GB2312" w:eastAsia="仿宋_GB2312" w:cs="仿宋_GB2312"/>
          <w:color w:val="auto"/>
          <w:sz w:val="36"/>
          <w:szCs w:val="36"/>
        </w:rPr>
      </w:pPr>
      <w:r>
        <w:rPr>
          <w:rFonts w:hint="eastAsia" w:ascii="仿宋_GB2312" w:hAnsi="仿宋_GB2312" w:eastAsia="仿宋_GB2312" w:cs="仿宋_GB2312"/>
          <w:color w:val="auto"/>
          <w:kern w:val="0"/>
          <w:sz w:val="36"/>
          <w:szCs w:val="36"/>
        </w:rPr>
        <w:t>实施单位（公章）：</w:t>
      </w:r>
      <w:r>
        <w:rPr>
          <w:rFonts w:hint="eastAsia" w:ascii="仿宋_GB2312" w:hAnsi="仿宋_GB2312" w:eastAsia="仿宋_GB2312" w:cs="仿宋_GB2312"/>
          <w:color w:val="auto"/>
          <w:sz w:val="36"/>
          <w:szCs w:val="36"/>
        </w:rPr>
        <w:t>阿图什市委统战部</w:t>
      </w:r>
    </w:p>
    <w:p>
      <w:pPr>
        <w:spacing w:line="560" w:lineRule="exact"/>
        <w:ind w:firstLine="720" w:firstLineChars="200"/>
        <w:rPr>
          <w:rFonts w:hint="eastAsia" w:ascii="仿宋_GB2312" w:hAnsi="仿宋_GB2312" w:eastAsia="仿宋_GB2312" w:cs="仿宋_GB2312"/>
          <w:color w:val="auto"/>
          <w:sz w:val="36"/>
          <w:szCs w:val="36"/>
        </w:rPr>
      </w:pPr>
      <w:r>
        <w:rPr>
          <w:rFonts w:hint="eastAsia" w:ascii="仿宋_GB2312" w:hAnsi="仿宋_GB2312" w:eastAsia="仿宋_GB2312" w:cs="仿宋_GB2312"/>
          <w:color w:val="auto"/>
          <w:kern w:val="0"/>
          <w:sz w:val="36"/>
          <w:szCs w:val="36"/>
        </w:rPr>
        <w:t>主管部门（公章）：</w:t>
      </w:r>
      <w:r>
        <w:rPr>
          <w:rFonts w:hint="eastAsia" w:ascii="仿宋_GB2312" w:hAnsi="仿宋_GB2312" w:eastAsia="仿宋_GB2312" w:cs="仿宋_GB2312"/>
          <w:color w:val="auto"/>
          <w:sz w:val="36"/>
          <w:szCs w:val="36"/>
        </w:rPr>
        <w:t>阿图什市委统战部</w:t>
      </w:r>
    </w:p>
    <w:p>
      <w:pPr>
        <w:spacing w:line="560" w:lineRule="exact"/>
        <w:ind w:firstLine="720" w:firstLineChars="200"/>
        <w:rPr>
          <w:rFonts w:hint="eastAsia" w:ascii="仿宋_GB2312" w:hAnsi="仿宋_GB2312" w:eastAsia="仿宋_GB2312" w:cs="仿宋_GB2312"/>
          <w:color w:val="auto"/>
          <w:kern w:val="0"/>
          <w:sz w:val="36"/>
          <w:szCs w:val="36"/>
        </w:rPr>
      </w:pPr>
      <w:r>
        <w:rPr>
          <w:rFonts w:hint="eastAsia" w:ascii="仿宋_GB2312" w:hAnsi="仿宋_GB2312" w:eastAsia="仿宋_GB2312" w:cs="仿宋_GB2312"/>
          <w:color w:val="auto"/>
          <w:kern w:val="0"/>
          <w:sz w:val="36"/>
          <w:szCs w:val="36"/>
        </w:rPr>
        <w:t>项目负责人（签章）：</w:t>
      </w:r>
    </w:p>
    <w:p>
      <w:pPr>
        <w:spacing w:line="560" w:lineRule="exact"/>
        <w:ind w:firstLine="720" w:firstLineChars="200"/>
        <w:rPr>
          <w:rFonts w:ascii="仿宋_GB2312" w:hAnsi="仿宋_GB2312" w:eastAsia="仿宋_GB2312" w:cs="仿宋_GB2312"/>
          <w:kern w:val="0"/>
          <w:sz w:val="36"/>
          <w:szCs w:val="36"/>
        </w:rPr>
      </w:pPr>
      <w:r>
        <w:rPr>
          <w:rFonts w:hint="eastAsia" w:ascii="仿宋_GB2312" w:hAnsi="仿宋_GB2312" w:eastAsia="仿宋_GB2312" w:cs="仿宋_GB2312"/>
          <w:color w:val="auto"/>
          <w:kern w:val="0"/>
          <w:sz w:val="36"/>
          <w:szCs w:val="36"/>
        </w:rPr>
        <w:t>填报时间：20</w:t>
      </w:r>
      <w:r>
        <w:rPr>
          <w:rFonts w:hint="eastAsia" w:ascii="仿宋_GB2312" w:hAnsi="仿宋_GB2312" w:eastAsia="仿宋_GB2312" w:cs="仿宋_GB2312"/>
          <w:color w:val="auto"/>
          <w:kern w:val="0"/>
          <w:sz w:val="36"/>
          <w:szCs w:val="36"/>
          <w:lang w:val="en-US" w:eastAsia="zh-CN"/>
        </w:rPr>
        <w:t>23</w:t>
      </w:r>
      <w:r>
        <w:rPr>
          <w:rFonts w:hint="eastAsia" w:ascii="仿宋_GB2312" w:hAnsi="仿宋_GB2312" w:eastAsia="仿宋_GB2312" w:cs="仿宋_GB2312"/>
          <w:color w:val="auto"/>
          <w:kern w:val="0"/>
          <w:sz w:val="36"/>
          <w:szCs w:val="36"/>
        </w:rPr>
        <w:t>年</w:t>
      </w:r>
      <w:r>
        <w:rPr>
          <w:rFonts w:hint="eastAsia" w:ascii="仿宋_GB2312" w:hAnsi="仿宋_GB2312" w:eastAsia="仿宋_GB2312" w:cs="仿宋_GB2312"/>
          <w:color w:val="auto"/>
          <w:kern w:val="0"/>
          <w:sz w:val="36"/>
          <w:szCs w:val="36"/>
          <w:lang w:val="en-US" w:eastAsia="zh-CN"/>
        </w:rPr>
        <w:t>12</w:t>
      </w:r>
      <w:r>
        <w:rPr>
          <w:rFonts w:hint="eastAsia" w:ascii="仿宋_GB2312" w:hAnsi="仿宋_GB2312" w:eastAsia="仿宋_GB2312" w:cs="仿宋_GB2312"/>
          <w:color w:val="auto"/>
          <w:kern w:val="0"/>
          <w:sz w:val="36"/>
          <w:szCs w:val="36"/>
        </w:rPr>
        <w:t>月</w:t>
      </w:r>
      <w:r>
        <w:rPr>
          <w:rFonts w:hint="eastAsia" w:ascii="仿宋_GB2312" w:hAnsi="仿宋_GB2312" w:eastAsia="仿宋_GB2312" w:cs="仿宋_GB2312"/>
          <w:color w:val="auto"/>
          <w:kern w:val="0"/>
          <w:sz w:val="36"/>
          <w:szCs w:val="36"/>
          <w:lang w:val="en-US" w:eastAsia="zh-CN"/>
        </w:rPr>
        <w:t>31</w:t>
      </w:r>
      <w:r>
        <w:rPr>
          <w:rFonts w:hint="eastAsia" w:ascii="仿宋_GB2312" w:hAnsi="仿宋_GB2312" w:eastAsia="仿宋_GB2312" w:cs="仿宋_GB2312"/>
          <w:color w:val="auto"/>
          <w:kern w:val="0"/>
          <w:sz w:val="36"/>
          <w:szCs w:val="36"/>
        </w:rPr>
        <w:t>日</w:t>
      </w:r>
    </w:p>
    <w:p>
      <w:pPr>
        <w:pStyle w:val="12"/>
        <w:ind w:firstLine="720" w:firstLineChars="200"/>
        <w:rPr>
          <w:rFonts w:ascii="仿宋_GB2312" w:hAnsi="仿宋_GB2312" w:cs="仿宋_GB2312"/>
          <w:kern w:val="0"/>
          <w:sz w:val="36"/>
          <w:szCs w:val="36"/>
        </w:rPr>
      </w:pPr>
    </w:p>
    <w:p>
      <w:pPr>
        <w:pStyle w:val="12"/>
        <w:ind w:firstLine="720" w:firstLineChars="200"/>
        <w:rPr>
          <w:rFonts w:ascii="仿宋_GB2312" w:hAnsi="仿宋_GB2312" w:cs="仿宋_GB2312"/>
          <w:kern w:val="0"/>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21"/>
          <w:rFonts w:hint="eastAsia" w:ascii="黑体" w:hAnsi="黑体" w:eastAsia="黑体"/>
          <w:b w:val="0"/>
          <w:color w:val="auto"/>
          <w:spacing w:val="-4"/>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21"/>
          <w:rFonts w:hint="eastAsia" w:ascii="黑体" w:hAnsi="黑体" w:eastAsia="黑体"/>
          <w:b w:val="0"/>
          <w:color w:val="auto"/>
          <w:spacing w:val="-4"/>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21"/>
          <w:rFonts w:ascii="黑体" w:hAnsi="黑体" w:eastAsia="黑体"/>
          <w:b w:val="0"/>
          <w:color w:val="auto"/>
          <w:spacing w:val="-4"/>
          <w:sz w:val="32"/>
          <w:szCs w:val="32"/>
          <w:highlight w:val="none"/>
        </w:rPr>
      </w:pPr>
      <w:r>
        <w:rPr>
          <w:rStyle w:val="21"/>
          <w:rFonts w:hint="eastAsia" w:ascii="黑体" w:hAnsi="黑体" w:eastAsia="黑体"/>
          <w:b w:val="0"/>
          <w:color w:val="auto"/>
          <w:spacing w:val="-4"/>
          <w:sz w:val="32"/>
          <w:szCs w:val="32"/>
          <w:highlight w:val="none"/>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21"/>
          <w:rFonts w:ascii="楷体" w:hAnsi="楷体" w:eastAsia="楷体"/>
          <w:color w:val="auto"/>
          <w:spacing w:val="-4"/>
          <w:sz w:val="32"/>
          <w:szCs w:val="32"/>
          <w:highlight w:val="none"/>
        </w:rPr>
      </w:pPr>
      <w:r>
        <w:rPr>
          <w:rStyle w:val="21"/>
          <w:rFonts w:hint="eastAsia" w:ascii="楷体" w:hAnsi="楷体" w:eastAsia="楷体"/>
          <w:color w:val="auto"/>
          <w:spacing w:val="-4"/>
          <w:sz w:val="32"/>
          <w:szCs w:val="32"/>
          <w:highlight w:val="none"/>
        </w:rPr>
        <w:t>（一）项目单位基本情况</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21"/>
          <w:rFonts w:hint="eastAsia" w:ascii="楷体" w:hAnsi="楷体" w:eastAsia="楷体"/>
          <w:color w:val="auto"/>
          <w:spacing w:val="-4"/>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21"/>
          <w:rFonts w:ascii="楷体" w:hAnsi="楷体" w:eastAsia="楷体"/>
          <w:color w:val="auto"/>
          <w:spacing w:val="-4"/>
          <w:sz w:val="32"/>
          <w:szCs w:val="32"/>
          <w:highlight w:val="none"/>
        </w:rPr>
      </w:pPr>
      <w:r>
        <w:rPr>
          <w:rStyle w:val="21"/>
          <w:rFonts w:hint="eastAsia" w:ascii="楷体" w:hAnsi="楷体" w:eastAsia="楷体"/>
          <w:color w:val="auto"/>
          <w:spacing w:val="-4"/>
          <w:sz w:val="32"/>
          <w:szCs w:val="32"/>
          <w:highlight w:val="none"/>
        </w:rPr>
        <w:t>（二）项目基本情况</w:t>
      </w:r>
    </w:p>
    <w:p>
      <w:pPr>
        <w:pStyle w:val="4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Ansi="仿宋_GB2312" w:cs="仿宋_GB2312"/>
          <w:b w:val="0"/>
          <w:color w:val="auto"/>
          <w:spacing w:val="-20"/>
          <w:highlight w:val="none"/>
        </w:rPr>
      </w:pPr>
      <w:r>
        <w:rPr>
          <w:rFonts w:hint="eastAsia" w:hAnsi="仿宋_GB2312" w:cs="仿宋_GB2312"/>
          <w:bCs/>
          <w:color w:val="auto"/>
          <w:highlight w:val="none"/>
        </w:rPr>
        <w:t>1．项目名称</w:t>
      </w:r>
    </w:p>
    <w:p>
      <w:pPr>
        <w:pStyle w:val="49"/>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color w:val="auto"/>
          <w:highlight w:val="none"/>
        </w:rPr>
      </w:pPr>
      <w:r>
        <w:rPr>
          <w:rFonts w:hint="eastAsia" w:hAnsi="仿宋_GB2312" w:cs="仿宋_GB2312"/>
          <w:b w:val="0"/>
          <w:color w:val="auto"/>
          <w:highlight w:val="none"/>
        </w:rPr>
        <w:t>阿图什市茶项目</w:t>
      </w:r>
    </w:p>
    <w:p>
      <w:pPr>
        <w:pStyle w:val="4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Ansi="仿宋_GB2312" w:cs="仿宋_GB2312"/>
          <w:b w:val="0"/>
          <w:color w:val="auto"/>
          <w:highlight w:val="none"/>
        </w:rPr>
      </w:pPr>
      <w:r>
        <w:rPr>
          <w:rFonts w:hint="eastAsia" w:hAnsi="仿宋_GB2312" w:cs="仿宋_GB2312"/>
          <w:bCs/>
          <w:color w:val="auto"/>
          <w:highlight w:val="none"/>
        </w:rPr>
        <w:t>2．项目的基本性质</w:t>
      </w:r>
    </w:p>
    <w:p>
      <w:pPr>
        <w:pStyle w:val="49"/>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b w:val="0"/>
          <w:color w:val="auto"/>
          <w:highlight w:val="none"/>
        </w:rPr>
      </w:pPr>
      <w:r>
        <w:rPr>
          <w:rFonts w:hint="eastAsia" w:hAnsi="仿宋_GB2312" w:cs="仿宋_GB2312"/>
          <w:b w:val="0"/>
          <w:color w:val="auto"/>
          <w:highlight w:val="none"/>
        </w:rPr>
        <w:t>本项目为</w:t>
      </w:r>
      <w:r>
        <w:rPr>
          <w:rFonts w:hint="eastAsia" w:hAnsi="仿宋_GB2312" w:cs="仿宋_GB2312"/>
          <w:b w:val="0"/>
          <w:color w:val="auto"/>
          <w:highlight w:val="none"/>
          <w:lang w:val="en-US" w:eastAsia="zh-CN"/>
        </w:rPr>
        <w:t>新建</w:t>
      </w:r>
      <w:r>
        <w:rPr>
          <w:rFonts w:hint="eastAsia" w:hAnsi="仿宋_GB2312" w:cs="仿宋_GB2312"/>
          <w:b w:val="0"/>
          <w:color w:val="auto"/>
          <w:highlight w:val="none"/>
        </w:rPr>
        <w:t>项目</w:t>
      </w:r>
    </w:p>
    <w:p>
      <w:pPr>
        <w:pStyle w:val="4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Ansi="仿宋_GB2312" w:cs="仿宋_GB2312"/>
          <w:b w:val="0"/>
          <w:color w:val="auto"/>
          <w:highlight w:val="none"/>
        </w:rPr>
      </w:pPr>
      <w:r>
        <w:rPr>
          <w:rFonts w:hint="eastAsia" w:hAnsi="仿宋_GB2312" w:cs="仿宋_GB2312"/>
          <w:bCs/>
          <w:color w:val="auto"/>
          <w:highlight w:val="none"/>
        </w:rPr>
        <w:t>3．项目主管单位</w:t>
      </w:r>
    </w:p>
    <w:p>
      <w:pPr>
        <w:pStyle w:val="49"/>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color w:val="auto"/>
          <w:highlight w:val="none"/>
        </w:rPr>
      </w:pPr>
      <w:r>
        <w:rPr>
          <w:rFonts w:hint="eastAsia" w:hAnsi="仿宋_GB2312" w:cs="仿宋_GB2312"/>
          <w:b w:val="0"/>
          <w:color w:val="auto"/>
          <w:highlight w:val="none"/>
        </w:rPr>
        <w:t>阿图什市委统战部</w:t>
      </w:r>
    </w:p>
    <w:p>
      <w:pPr>
        <w:pStyle w:val="4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Ansi="仿宋_GB2312" w:cs="仿宋_GB2312"/>
          <w:b w:val="0"/>
          <w:color w:val="auto"/>
          <w:highlight w:val="none"/>
        </w:rPr>
      </w:pPr>
      <w:r>
        <w:rPr>
          <w:rFonts w:hint="eastAsia" w:hAnsi="仿宋_GB2312" w:cs="仿宋_GB2312"/>
          <w:bCs/>
          <w:color w:val="auto"/>
          <w:highlight w:val="none"/>
        </w:rPr>
        <w:t>4．项目实施单位</w:t>
      </w:r>
    </w:p>
    <w:p>
      <w:pPr>
        <w:pStyle w:val="49"/>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color w:val="auto"/>
          <w:highlight w:val="none"/>
        </w:rPr>
      </w:pPr>
      <w:r>
        <w:rPr>
          <w:rFonts w:hint="eastAsia" w:hAnsi="仿宋_GB2312" w:cs="仿宋_GB2312"/>
          <w:b w:val="0"/>
          <w:color w:val="auto"/>
          <w:highlight w:val="none"/>
        </w:rPr>
        <w:t>阿图什市委统战部</w:t>
      </w:r>
    </w:p>
    <w:p>
      <w:pPr>
        <w:pStyle w:val="4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hAnsi="仿宋_GB2312" w:cs="仿宋_GB2312"/>
          <w:bCs/>
          <w:color w:val="auto"/>
          <w:highlight w:val="none"/>
        </w:rPr>
      </w:pPr>
      <w:r>
        <w:rPr>
          <w:rFonts w:hint="eastAsia" w:ascii="仿宋_GB2312" w:hAnsi="仿宋_GB2312" w:eastAsia="仿宋_GB2312" w:cs="仿宋_GB2312"/>
          <w:b/>
          <w:bCs/>
          <w:color w:val="auto"/>
          <w:kern w:val="2"/>
          <w:sz w:val="32"/>
          <w:szCs w:val="32"/>
          <w:highlight w:val="none"/>
          <w:lang w:val="en-US" w:eastAsia="zh-CN" w:bidi="ar-SA"/>
        </w:rPr>
        <w:t>5．</w:t>
      </w:r>
      <w:r>
        <w:rPr>
          <w:rFonts w:hint="eastAsia" w:hAnsi="仿宋_GB2312" w:cs="仿宋_GB2312"/>
          <w:bCs/>
          <w:color w:val="auto"/>
          <w:highlight w:val="none"/>
        </w:rPr>
        <w:t>项目建设内容</w:t>
      </w:r>
    </w:p>
    <w:p>
      <w:pPr>
        <w:pStyle w:val="4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b w:val="0"/>
          <w:color w:val="auto"/>
          <w:highlight w:val="none"/>
          <w:lang w:val="en-US" w:eastAsia="zh-CN"/>
        </w:rPr>
      </w:pPr>
      <w:r>
        <w:rPr>
          <w:rFonts w:hint="eastAsia" w:hAnsi="仿宋_GB2312" w:cs="仿宋_GB2312"/>
          <w:b w:val="0"/>
          <w:color w:val="auto"/>
          <w:highlight w:val="none"/>
          <w:lang w:val="en-US" w:eastAsia="zh-CN"/>
        </w:rPr>
        <w:t>项目的实施，将会提升群众的幸福感、获得感、安全感，扎实推进乡村振兴战略的实施。</w:t>
      </w:r>
    </w:p>
    <w:p>
      <w:pPr>
        <w:pStyle w:val="4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Ansi="仿宋_GB2312" w:cs="仿宋_GB2312"/>
          <w:b w:val="0"/>
          <w:color w:val="auto"/>
          <w:highlight w:val="none"/>
        </w:rPr>
      </w:pPr>
      <w:r>
        <w:rPr>
          <w:rFonts w:hint="eastAsia" w:hAnsi="仿宋_GB2312" w:cs="仿宋_GB2312"/>
          <w:bCs/>
          <w:color w:val="auto"/>
          <w:highlight w:val="none"/>
        </w:rPr>
        <w:t>6．项目实施范围</w:t>
      </w:r>
    </w:p>
    <w:p>
      <w:pPr>
        <w:pStyle w:val="49"/>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b w:val="0"/>
          <w:color w:val="auto"/>
          <w:highlight w:val="none"/>
        </w:rPr>
      </w:pPr>
      <w:r>
        <w:rPr>
          <w:rFonts w:hint="eastAsia" w:hAnsi="仿宋_GB2312" w:cs="仿宋_GB2312"/>
          <w:b w:val="0"/>
          <w:color w:val="auto"/>
          <w:highlight w:val="none"/>
        </w:rPr>
        <w:t>本项目涉及乡镇数量</w:t>
      </w:r>
      <w:r>
        <w:rPr>
          <w:rFonts w:hint="eastAsia" w:hAnsi="仿宋_GB2312" w:cs="仿宋_GB2312"/>
          <w:b w:val="0"/>
          <w:color w:val="auto"/>
          <w:highlight w:val="none"/>
          <w:lang w:val="en-US" w:eastAsia="zh-CN"/>
        </w:rPr>
        <w:t>10</w:t>
      </w:r>
      <w:r>
        <w:rPr>
          <w:rFonts w:hint="eastAsia" w:hAnsi="仿宋_GB2312" w:cs="仿宋_GB2312"/>
          <w:b w:val="0"/>
          <w:color w:val="auto"/>
          <w:highlight w:val="none"/>
        </w:rPr>
        <w:t>个，包括：</w:t>
      </w:r>
      <w:r>
        <w:rPr>
          <w:rFonts w:hint="eastAsia" w:hAnsi="仿宋_GB2312" w:cs="仿宋_GB2312"/>
          <w:b w:val="0"/>
          <w:color w:val="auto"/>
          <w:highlight w:val="none"/>
          <w:lang w:val="en-US" w:eastAsia="zh-CN"/>
        </w:rPr>
        <w:t>3</w:t>
      </w:r>
      <w:r>
        <w:rPr>
          <w:rFonts w:hint="eastAsia" w:hAnsi="仿宋_GB2312" w:cs="仿宋_GB2312"/>
          <w:b w:val="0"/>
          <w:color w:val="auto"/>
          <w:highlight w:val="none"/>
        </w:rPr>
        <w:t>镇、</w:t>
      </w:r>
      <w:r>
        <w:rPr>
          <w:rFonts w:hint="eastAsia" w:hAnsi="仿宋_GB2312" w:cs="仿宋_GB2312"/>
          <w:b w:val="0"/>
          <w:color w:val="auto"/>
          <w:highlight w:val="none"/>
          <w:lang w:val="en-US" w:eastAsia="zh-CN"/>
        </w:rPr>
        <w:t>4</w:t>
      </w:r>
      <w:r>
        <w:rPr>
          <w:rFonts w:hint="eastAsia" w:hAnsi="仿宋_GB2312" w:cs="仿宋_GB2312"/>
          <w:b w:val="0"/>
          <w:color w:val="auto"/>
          <w:highlight w:val="none"/>
        </w:rPr>
        <w:t>乡、3街道。</w:t>
      </w:r>
    </w:p>
    <w:p>
      <w:pPr>
        <w:pStyle w:val="4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Ansi="仿宋_GB2312" w:cs="仿宋_GB2312"/>
          <w:b w:val="0"/>
          <w:color w:val="auto"/>
          <w:highlight w:val="none"/>
        </w:rPr>
      </w:pPr>
      <w:r>
        <w:rPr>
          <w:rFonts w:hint="eastAsia" w:hAnsi="仿宋_GB2312" w:cs="仿宋_GB2312"/>
          <w:bCs/>
          <w:color w:val="auto"/>
          <w:highlight w:val="none"/>
        </w:rPr>
        <w:t>7．项目实施目的</w:t>
      </w:r>
    </w:p>
    <w:p>
      <w:pPr>
        <w:pStyle w:val="4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b w:val="0"/>
          <w:bCs/>
          <w:color w:val="auto"/>
          <w:sz w:val="32"/>
          <w:szCs w:val="32"/>
          <w:highlight w:val="none"/>
        </w:rPr>
        <w:t>本项目主要</w:t>
      </w:r>
      <w:r>
        <w:rPr>
          <w:rFonts w:hint="eastAsia" w:hAnsi="仿宋_GB2312" w:cs="仿宋_GB2312"/>
          <w:b w:val="0"/>
          <w:color w:val="auto"/>
          <w:highlight w:val="none"/>
          <w:lang w:val="en-US" w:eastAsia="zh-CN"/>
        </w:rPr>
        <w:t>提升群众的幸福感、获得感、安全感，扎实推进乡村振兴战略的实施。</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ascii="仿宋_GB2312" w:hAnsi="仿宋_GB2312" w:eastAsia="仿宋_GB2312" w:cs="仿宋_GB2312"/>
          <w:color w:val="auto"/>
          <w:sz w:val="32"/>
          <w:szCs w:val="32"/>
          <w:highlight w:val="none"/>
        </w:rPr>
      </w:pPr>
      <w:r>
        <w:rPr>
          <w:rStyle w:val="21"/>
          <w:rFonts w:hint="eastAsia" w:ascii="黑体" w:hAnsi="黑体" w:eastAsia="黑体"/>
          <w:b w:val="0"/>
          <w:color w:val="auto"/>
          <w:spacing w:val="-4"/>
          <w:sz w:val="32"/>
          <w:szCs w:val="32"/>
          <w:highlight w:val="none"/>
        </w:rPr>
        <w:t>二、绩效自评工作开展情况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（一）评价目的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通过开展绩效自评，全面分析本项目资金使用、管理和项目实施等情况，规范项目申报、公示、审批、实施、监管、验收及资金支付等程序，对项目主管单位和实施单位的资金分配、管理等制度进行自查，加强项目实施管理，强化财政支出绩效理念，提高资金使用效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新疆维吾尔自治区财政衔接推进乡村振兴补助资金管理办法》的通知（新财规〔2021〕11号）、关于印发《新疆维吾尔自治区财政衔接推进乡村振兴补助资金（巩固拓展脱贫攻坚成果和乡村振兴任务）项目管理办法（暂行）》的通知（新乡振〔2021〕32号）、《自治区财政专项扶贫资金绩效管理操作指南》（新财预〔2019〕170号）等相关文件组织实施本项目绩效自评相关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（三）评价流程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1．前期准备</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color w:val="auto"/>
          <w:sz w:val="32"/>
          <w:szCs w:val="32"/>
          <w:highlight w:val="none"/>
        </w:rPr>
      </w:pPr>
      <w:r>
        <w:rPr>
          <w:rFonts w:hint="eastAsia" w:cs="仿宋_GB2312"/>
          <w:color w:val="auto"/>
          <w:sz w:val="32"/>
          <w:szCs w:val="32"/>
          <w:highlight w:val="none"/>
        </w:rPr>
        <w:t>本次评价通过文件研读、实地调研、数据分析等方式，全面了解项目资金的使用效率和效果，项目管理过程规范，并完成了预期绩效目标。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（1）整理项目全过程资料建档：</w:t>
      </w:r>
      <w:r>
        <w:rPr>
          <w:rFonts w:hint="eastAsia" w:eastAsia="仿宋_GB2312" w:cs="仿宋_GB2312"/>
          <w:color w:val="auto"/>
          <w:sz w:val="32"/>
          <w:szCs w:val="32"/>
          <w:highlight w:val="none"/>
        </w:rPr>
        <w:t>立项依据、资金及项目批复文件、实施方案、绩效目标申报表、绩效运行监控表、合同、验收</w:t>
      </w:r>
      <w:r>
        <w:rPr>
          <w:rFonts w:hint="eastAsia" w:eastAsia="仿宋_GB2312" w:cs="仿宋_GB2312"/>
          <w:color w:val="auto"/>
          <w:sz w:val="32"/>
          <w:szCs w:val="32"/>
          <w:highlight w:val="none"/>
          <w:lang w:val="en-US" w:eastAsia="zh-CN"/>
        </w:rPr>
        <w:t>表</w:t>
      </w:r>
      <w:r>
        <w:rPr>
          <w:rFonts w:hint="eastAsia" w:eastAsia="仿宋_GB2312" w:cs="仿宋_GB2312"/>
          <w:color w:val="auto"/>
          <w:sz w:val="32"/>
          <w:szCs w:val="32"/>
          <w:highlight w:val="none"/>
        </w:rPr>
        <w:t>、满意度调查问卷。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t>（2）由实施单位主要负责人、项目负责人、财务等人员组成自评工作组。</w:t>
      </w:r>
    </w:p>
    <w:tbl>
      <w:tblPr>
        <w:tblStyle w:val="19"/>
        <w:tblW w:w="8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326"/>
        <w:gridCol w:w="3551"/>
        <w:gridCol w:w="1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91" w:type="dxa"/>
            <w:vAlign w:val="center"/>
          </w:tcPr>
          <w:p>
            <w:pPr>
              <w:spacing w:before="9"/>
              <w:jc w:val="center"/>
              <w:rPr>
                <w:rFonts w:ascii="仿宋_GB2312" w:hAnsi="仿宋_GB2312" w:eastAsia="仿宋_GB2312" w:cs="仿宋_GB2312"/>
                <w:sz w:val="24"/>
              </w:rPr>
            </w:pPr>
            <w:r>
              <w:rPr>
                <w:rFonts w:hint="eastAsia" w:ascii="仿宋_GB2312" w:hAnsi="仿宋_GB2312" w:eastAsia="仿宋_GB2312" w:cs="仿宋_GB2312"/>
                <w:color w:val="auto"/>
                <w:sz w:val="24"/>
                <w:highlight w:val="none"/>
              </w:rPr>
              <w:t>序号</w:t>
            </w:r>
          </w:p>
        </w:tc>
        <w:tc>
          <w:tcPr>
            <w:tcW w:w="2326" w:type="dxa"/>
            <w:vAlign w:val="center"/>
          </w:tcPr>
          <w:p>
            <w:pPr>
              <w:spacing w:before="9"/>
              <w:ind w:firstLine="720" w:firstLineChars="300"/>
              <w:rPr>
                <w:rFonts w:ascii="仿宋_GB2312" w:hAnsi="仿宋_GB2312" w:eastAsia="仿宋_GB2312" w:cs="仿宋_GB2312"/>
                <w:sz w:val="24"/>
              </w:rPr>
            </w:pPr>
            <w:r>
              <w:rPr>
                <w:rFonts w:hint="eastAsia" w:ascii="仿宋_GB2312" w:hAnsi="仿宋_GB2312" w:eastAsia="仿宋_GB2312" w:cs="仿宋_GB2312"/>
                <w:color w:val="auto"/>
                <w:sz w:val="24"/>
                <w:highlight w:val="none"/>
              </w:rPr>
              <w:t>姓名</w:t>
            </w:r>
          </w:p>
        </w:tc>
        <w:tc>
          <w:tcPr>
            <w:tcW w:w="3551" w:type="dxa"/>
            <w:vAlign w:val="center"/>
          </w:tcPr>
          <w:p>
            <w:pPr>
              <w:spacing w:before="9"/>
              <w:ind w:firstLine="1440" w:firstLineChars="600"/>
              <w:rPr>
                <w:rFonts w:ascii="仿宋_GB2312" w:hAnsi="仿宋_GB2312" w:eastAsia="仿宋_GB2312" w:cs="仿宋_GB2312"/>
                <w:sz w:val="24"/>
              </w:rPr>
            </w:pPr>
            <w:r>
              <w:rPr>
                <w:rFonts w:hint="eastAsia" w:ascii="仿宋_GB2312" w:hAnsi="仿宋_GB2312" w:eastAsia="仿宋_GB2312" w:cs="仿宋_GB2312"/>
                <w:color w:val="auto"/>
                <w:sz w:val="24"/>
                <w:highlight w:val="none"/>
              </w:rPr>
              <w:t>单位</w:t>
            </w:r>
          </w:p>
        </w:tc>
        <w:tc>
          <w:tcPr>
            <w:tcW w:w="1649" w:type="dxa"/>
            <w:vAlign w:val="center"/>
          </w:tcPr>
          <w:p>
            <w:pPr>
              <w:spacing w:before="9"/>
              <w:ind w:firstLine="480" w:firstLineChars="200"/>
              <w:rPr>
                <w:rFonts w:ascii="仿宋_GB2312" w:hAnsi="仿宋_GB2312" w:eastAsia="仿宋_GB2312" w:cs="仿宋_GB2312"/>
                <w:sz w:val="24"/>
              </w:rPr>
            </w:pPr>
            <w:r>
              <w:rPr>
                <w:rFonts w:hint="eastAsia" w:ascii="仿宋_GB2312" w:hAnsi="仿宋_GB2312" w:eastAsia="仿宋_GB2312" w:cs="仿宋_GB2312"/>
                <w:color w:val="auto"/>
                <w:sz w:val="24"/>
                <w:highlight w:val="none"/>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91" w:type="dxa"/>
            <w:vAlign w:val="center"/>
          </w:tcPr>
          <w:p>
            <w:pPr>
              <w:spacing w:before="9"/>
              <w:jc w:val="center"/>
              <w:rPr>
                <w:rFonts w:ascii="仿宋_GB2312" w:hAnsi="仿宋_GB2312" w:eastAsia="仿宋_GB2312" w:cs="仿宋_GB2312"/>
                <w:sz w:val="24"/>
              </w:rPr>
            </w:pPr>
            <w:r>
              <w:rPr>
                <w:rFonts w:hint="eastAsia" w:ascii="仿宋_GB2312" w:hAnsi="仿宋_GB2312" w:eastAsia="仿宋_GB2312" w:cs="仿宋_GB2312"/>
                <w:color w:val="auto"/>
                <w:sz w:val="24"/>
                <w:highlight w:val="none"/>
              </w:rPr>
              <w:t>1</w:t>
            </w:r>
          </w:p>
        </w:tc>
        <w:tc>
          <w:tcPr>
            <w:tcW w:w="2326" w:type="dxa"/>
            <w:vAlign w:val="center"/>
          </w:tcPr>
          <w:p>
            <w:pPr>
              <w:spacing w:before="9"/>
              <w:jc w:val="center"/>
              <w:rPr>
                <w:rFonts w:ascii="仿宋_GB2312" w:hAnsi="仿宋_GB2312" w:eastAsia="仿宋_GB2312" w:cs="仿宋_GB2312"/>
                <w:sz w:val="24"/>
              </w:rPr>
            </w:pPr>
          </w:p>
        </w:tc>
        <w:tc>
          <w:tcPr>
            <w:tcW w:w="3551" w:type="dxa"/>
            <w:vAlign w:val="center"/>
          </w:tcPr>
          <w:p>
            <w:pPr>
              <w:spacing w:before="9"/>
              <w:jc w:val="center"/>
              <w:rPr>
                <w:rFonts w:ascii="仿宋_GB2312" w:hAnsi="仿宋_GB2312" w:eastAsia="仿宋_GB2312" w:cs="仿宋_GB2312"/>
                <w:sz w:val="24"/>
              </w:rPr>
            </w:pPr>
            <w:r>
              <w:rPr>
                <w:rFonts w:hint="eastAsia" w:ascii="仿宋_GB2312" w:hAnsi="仿宋_GB2312" w:eastAsia="仿宋_GB2312" w:cs="仿宋_GB2312"/>
                <w:color w:val="auto"/>
                <w:sz w:val="24"/>
                <w:highlight w:val="none"/>
              </w:rPr>
              <w:t>阿图什市委员会统战部</w:t>
            </w:r>
          </w:p>
        </w:tc>
        <w:tc>
          <w:tcPr>
            <w:tcW w:w="1649" w:type="dxa"/>
            <w:vAlign w:val="center"/>
          </w:tcPr>
          <w:p>
            <w:pPr>
              <w:spacing w:before="9"/>
              <w:rPr>
                <w:rFonts w:ascii="仿宋_GB2312" w:hAnsi="仿宋_GB2312" w:eastAsia="仿宋_GB2312" w:cs="仿宋_GB2312"/>
                <w:sz w:val="24"/>
              </w:rPr>
            </w:pPr>
            <w:r>
              <w:rPr>
                <w:rFonts w:hint="eastAsia" w:ascii="仿宋_GB2312" w:hAnsi="仿宋_GB2312" w:eastAsia="仿宋_GB2312" w:cs="仿宋_GB2312"/>
                <w:color w:val="auto"/>
                <w:sz w:val="24"/>
                <w:highlight w:val="none"/>
              </w:rPr>
              <w:t>常务副部长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exact"/>
          <w:jc w:val="center"/>
        </w:trPr>
        <w:tc>
          <w:tcPr>
            <w:tcW w:w="791" w:type="dxa"/>
            <w:vAlign w:val="center"/>
          </w:tcPr>
          <w:p>
            <w:pPr>
              <w:spacing w:before="9"/>
              <w:jc w:val="center"/>
              <w:rPr>
                <w:rFonts w:ascii="仿宋_GB2312" w:hAnsi="仿宋_GB2312" w:eastAsia="仿宋_GB2312" w:cs="仿宋_GB2312"/>
                <w:sz w:val="24"/>
              </w:rPr>
            </w:pPr>
            <w:r>
              <w:rPr>
                <w:rFonts w:hint="eastAsia" w:ascii="仿宋_GB2312" w:hAnsi="仿宋_GB2312" w:eastAsia="仿宋_GB2312" w:cs="仿宋_GB2312"/>
                <w:color w:val="auto"/>
                <w:sz w:val="24"/>
                <w:highlight w:val="none"/>
              </w:rPr>
              <w:t>2</w:t>
            </w:r>
          </w:p>
        </w:tc>
        <w:tc>
          <w:tcPr>
            <w:tcW w:w="2326" w:type="dxa"/>
            <w:vAlign w:val="center"/>
          </w:tcPr>
          <w:p>
            <w:pPr>
              <w:spacing w:before="9"/>
              <w:jc w:val="center"/>
              <w:rPr>
                <w:rFonts w:ascii="仿宋_GB2312" w:hAnsi="仿宋_GB2312" w:eastAsia="仿宋_GB2312" w:cs="仿宋_GB2312"/>
                <w:kern w:val="0"/>
                <w:sz w:val="24"/>
              </w:rPr>
            </w:pPr>
          </w:p>
        </w:tc>
        <w:tc>
          <w:tcPr>
            <w:tcW w:w="3551" w:type="dxa"/>
            <w:vAlign w:val="center"/>
          </w:tcPr>
          <w:p>
            <w:pPr>
              <w:spacing w:before="9"/>
              <w:jc w:val="center"/>
              <w:rPr>
                <w:rFonts w:ascii="仿宋_GB2312" w:hAnsi="仿宋_GB2312" w:eastAsia="仿宋_GB2312" w:cs="仿宋_GB2312"/>
                <w:sz w:val="24"/>
              </w:rPr>
            </w:pPr>
            <w:r>
              <w:rPr>
                <w:rFonts w:hint="eastAsia" w:ascii="仿宋_GB2312" w:hAnsi="仿宋_GB2312" w:eastAsia="仿宋_GB2312" w:cs="仿宋_GB2312"/>
                <w:color w:val="auto"/>
                <w:sz w:val="24"/>
                <w:highlight w:val="none"/>
              </w:rPr>
              <w:t>阿图什市委员会统战部</w:t>
            </w:r>
          </w:p>
        </w:tc>
        <w:tc>
          <w:tcPr>
            <w:tcW w:w="1649" w:type="dxa"/>
            <w:vAlign w:val="center"/>
          </w:tcPr>
          <w:p>
            <w:pPr>
              <w:spacing w:before="9"/>
              <w:rPr>
                <w:rFonts w:ascii="仿宋_GB2312" w:hAnsi="仿宋_GB2312" w:eastAsia="仿宋_GB2312" w:cs="仿宋_GB2312"/>
                <w:sz w:val="24"/>
              </w:rPr>
            </w:pPr>
            <w:r>
              <w:rPr>
                <w:rFonts w:hint="eastAsia" w:ascii="仿宋_GB2312" w:hAnsi="仿宋_GB2312" w:eastAsia="仿宋_GB2312" w:cs="仿宋_GB2312"/>
                <w:color w:val="auto"/>
                <w:sz w:val="24"/>
                <w:highlight w:val="none"/>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91" w:type="dxa"/>
            <w:vAlign w:val="center"/>
          </w:tcPr>
          <w:p>
            <w:pPr>
              <w:spacing w:before="9"/>
              <w:jc w:val="center"/>
              <w:rPr>
                <w:rFonts w:ascii="仿宋_GB2312" w:hAnsi="仿宋_GB2312" w:eastAsia="仿宋_GB2312" w:cs="仿宋_GB2312"/>
                <w:sz w:val="24"/>
              </w:rPr>
            </w:pPr>
            <w:r>
              <w:rPr>
                <w:rFonts w:hint="eastAsia" w:ascii="仿宋_GB2312" w:hAnsi="仿宋_GB2312" w:eastAsia="仿宋_GB2312" w:cs="仿宋_GB2312"/>
                <w:color w:val="auto"/>
                <w:sz w:val="24"/>
                <w:highlight w:val="none"/>
              </w:rPr>
              <w:t>3</w:t>
            </w:r>
          </w:p>
        </w:tc>
        <w:tc>
          <w:tcPr>
            <w:tcW w:w="2326" w:type="dxa"/>
            <w:vAlign w:val="center"/>
          </w:tcPr>
          <w:p>
            <w:pPr>
              <w:spacing w:before="9"/>
              <w:jc w:val="center"/>
              <w:rPr>
                <w:rFonts w:ascii="仿宋_GB2312" w:hAnsi="仿宋_GB2312" w:eastAsia="仿宋_GB2312" w:cs="仿宋_GB2312"/>
                <w:kern w:val="0"/>
                <w:sz w:val="24"/>
              </w:rPr>
            </w:pPr>
          </w:p>
        </w:tc>
        <w:tc>
          <w:tcPr>
            <w:tcW w:w="3551" w:type="dxa"/>
            <w:vAlign w:val="center"/>
          </w:tcPr>
          <w:p>
            <w:pPr>
              <w:spacing w:before="9"/>
              <w:jc w:val="center"/>
              <w:rPr>
                <w:rFonts w:ascii="仿宋_GB2312" w:hAnsi="仿宋_GB2312" w:eastAsia="仿宋_GB2312" w:cs="仿宋_GB2312"/>
                <w:sz w:val="24"/>
              </w:rPr>
            </w:pPr>
            <w:r>
              <w:rPr>
                <w:rFonts w:hint="eastAsia" w:ascii="仿宋_GB2312" w:hAnsi="仿宋_GB2312" w:eastAsia="仿宋_GB2312" w:cs="仿宋_GB2312"/>
                <w:color w:val="auto"/>
                <w:sz w:val="24"/>
                <w:highlight w:val="none"/>
              </w:rPr>
              <w:t>阿图什市委员会统战部</w:t>
            </w:r>
          </w:p>
        </w:tc>
        <w:tc>
          <w:tcPr>
            <w:tcW w:w="1649" w:type="dxa"/>
            <w:vAlign w:val="center"/>
          </w:tcPr>
          <w:p>
            <w:pPr>
              <w:spacing w:before="9"/>
              <w:jc w:val="center"/>
              <w:rPr>
                <w:rFonts w:ascii="仿宋_GB2312" w:hAnsi="仿宋_GB2312" w:eastAsia="仿宋_GB2312" w:cs="仿宋_GB2312"/>
                <w:sz w:val="24"/>
              </w:rPr>
            </w:pPr>
            <w:r>
              <w:rPr>
                <w:rFonts w:hint="eastAsia" w:ascii="仿宋_GB2312" w:hAnsi="仿宋_GB2312" w:eastAsia="仿宋_GB2312" w:cs="仿宋_GB2312"/>
                <w:color w:val="auto"/>
                <w:sz w:val="24"/>
                <w:highlight w:val="none"/>
              </w:rPr>
              <w:t>会计</w:t>
            </w:r>
          </w:p>
        </w:tc>
      </w:tr>
    </w:tbl>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（3）自评工作组采取“目标预定与实施效果比较法”进行评价，评价指标体系以绩效目标申报表中的指标为依据。</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2．组织过程</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 w:eastAsia="仿宋_GB2312" w:cs="宋体"/>
          <w:color w:val="auto"/>
          <w:sz w:val="32"/>
          <w:szCs w:val="32"/>
        </w:rPr>
        <w:t>项目全过程资料档案复核</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_GB2312" w:eastAsia="仿宋_GB2312" w:cs="仿宋_GB2312"/>
          <w:color w:val="auto"/>
          <w:sz w:val="32"/>
          <w:szCs w:val="32"/>
        </w:rPr>
        <w:t>采取现场和非现场评价相结合的方式实施评价，核查核实评价基础资料，</w:t>
      </w:r>
      <w:r>
        <w:rPr>
          <w:rFonts w:hint="eastAsia" w:ascii="仿宋_GB2312" w:hAnsi="仿宋" w:eastAsia="仿宋_GB2312" w:cs="宋体"/>
          <w:color w:val="auto"/>
          <w:sz w:val="32"/>
          <w:szCs w:val="32"/>
        </w:rPr>
        <w:t>主要是：相关政策文件、项目实施情况、资金支出情况、项目完成情况。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_GB2312" w:eastAsia="仿宋_GB2312" w:cs="仿宋_GB2312"/>
          <w:color w:val="auto"/>
          <w:sz w:val="32"/>
          <w:szCs w:val="32"/>
        </w:rPr>
        <w:t>（2）</w:t>
      </w:r>
      <w:r>
        <w:rPr>
          <w:rFonts w:hint="eastAsia" w:ascii="仿宋_GB2312" w:hAnsi="仿宋" w:eastAsia="仿宋_GB2312" w:cs="宋体"/>
          <w:color w:val="auto"/>
          <w:sz w:val="32"/>
          <w:szCs w:val="32"/>
        </w:rPr>
        <w:t>检查内容和过程</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专项资金是否存在截留、挪用，支付审批是否合规、是否存在用途改变、范围超支和虚列项目支出等情况；项目实施是否符合项目管理办法，审核流程和管理制度是否合规；项目完成情况的真实性和绩效目标完成情况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记录工作底稿并经项目负责人和经办人签字确认。需要调查问卷的，发放调查问卷开展满意度调查工作。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（3）撰写报告情况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评价小组根据所搜集的印证材料，按照绩效评价原理和指标体系进行分析、评价和汇总，撰写绩效自评报告，并在规定时间上报财政局。</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3．分析评价</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 w:eastAsia="仿宋_GB2312" w:cs="宋体"/>
          <w:color w:val="auto"/>
          <w:sz w:val="32"/>
          <w:szCs w:val="32"/>
        </w:rPr>
        <w:t>对采集的数据资料进行复核汇总、分类整理和综合分析，按照设立的评价指标、标准、权重、方法实施评价，通过对项目产出、效益和满意度的各项三级指标分析，结合资金使用、项目管理等方面，客观分析项目的产出和效果，形成评价结论，填写</w:t>
      </w:r>
      <w:r>
        <w:rPr>
          <w:rFonts w:hint="eastAsia" w:ascii="仿宋_GB2312" w:hAnsi="仿宋_GB2312" w:eastAsia="仿宋_GB2312" w:cs="仿宋_GB2312"/>
          <w:color w:val="auto"/>
          <w:sz w:val="32"/>
          <w:szCs w:val="32"/>
        </w:rPr>
        <w:t>自评表、撰写自评报告。</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黑体" w:hAnsi="黑体" w:eastAsia="黑体" w:cs="黑体"/>
          <w:color w:val="auto"/>
          <w:sz w:val="32"/>
          <w:szCs w:val="32"/>
        </w:rPr>
        <w:t>三、绩效目标分解下达情况</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Ansi="仿宋"/>
          <w:b/>
          <w:bCs/>
          <w:color w:val="auto"/>
          <w:spacing w:val="-4"/>
          <w:sz w:val="32"/>
          <w:szCs w:val="32"/>
        </w:rPr>
      </w:pPr>
      <w:r>
        <w:rPr>
          <w:rFonts w:hint="eastAsia" w:ascii="楷体" w:hAnsi="楷体" w:eastAsia="楷体" w:cs="楷体"/>
          <w:b/>
          <w:bCs/>
          <w:color w:val="auto"/>
          <w:sz w:val="32"/>
          <w:szCs w:val="32"/>
        </w:rPr>
        <w:t>（一）资金下达情况</w:t>
      </w:r>
    </w:p>
    <w:p>
      <w:pPr>
        <w:pStyle w:val="49"/>
        <w:keepNext w:val="0"/>
        <w:keepLines w:val="0"/>
        <w:pageBreakBefore w:val="0"/>
        <w:widowControl w:val="0"/>
        <w:kinsoku/>
        <w:wordWrap/>
        <w:overflowPunct/>
        <w:topLinePunct w:val="0"/>
        <w:autoSpaceDE/>
        <w:autoSpaceDN/>
        <w:bidi w:val="0"/>
        <w:spacing w:line="560" w:lineRule="exact"/>
        <w:ind w:firstLine="624" w:firstLineChars="200"/>
        <w:textAlignment w:val="auto"/>
        <w:rPr>
          <w:rFonts w:hAnsi="仿宋"/>
          <w:b w:val="0"/>
          <w:bCs/>
          <w:color w:val="auto"/>
          <w:spacing w:val="-4"/>
        </w:rPr>
      </w:pPr>
      <w:r>
        <w:rPr>
          <w:rFonts w:hint="eastAsia" w:hAnsi="仿宋"/>
          <w:b w:val="0"/>
          <w:bCs/>
          <w:color w:val="auto"/>
          <w:spacing w:val="-4"/>
        </w:rPr>
        <w:t>本项目总投资</w:t>
      </w:r>
      <w:r>
        <w:rPr>
          <w:rFonts w:hint="eastAsia" w:hAnsi="仿宋"/>
          <w:b w:val="0"/>
          <w:bCs/>
          <w:color w:val="auto"/>
          <w:spacing w:val="-4"/>
          <w:lang w:val="en-US" w:eastAsia="zh-CN"/>
        </w:rPr>
        <w:t>15</w:t>
      </w:r>
      <w:r>
        <w:rPr>
          <w:rFonts w:hint="eastAsia" w:hAnsi="仿宋"/>
          <w:b w:val="0"/>
          <w:bCs/>
          <w:color w:val="auto"/>
          <w:spacing w:val="-4"/>
        </w:rPr>
        <w:t>万元，根据（新财振〔2022〕22号）、（克财振〔2022〕8号）、（阿财农〔2022〕24号），下达</w:t>
      </w:r>
      <w:r>
        <w:rPr>
          <w:rFonts w:hint="eastAsia" w:hAnsi="仿宋"/>
          <w:b w:val="0"/>
          <w:bCs/>
          <w:color w:val="auto"/>
          <w:spacing w:val="-4"/>
          <w:lang w:val="en-US" w:eastAsia="zh-CN"/>
        </w:rPr>
        <w:t>财政</w:t>
      </w:r>
      <w:r>
        <w:rPr>
          <w:rFonts w:hint="eastAsia" w:hAnsi="仿宋"/>
          <w:b w:val="0"/>
          <w:bCs/>
          <w:color w:val="auto"/>
          <w:spacing w:val="-4"/>
        </w:rPr>
        <w:t>资金</w:t>
      </w:r>
      <w:r>
        <w:rPr>
          <w:rFonts w:hint="eastAsia" w:hAnsi="仿宋"/>
          <w:b w:val="0"/>
          <w:bCs/>
          <w:color w:val="auto"/>
          <w:spacing w:val="-4"/>
          <w:lang w:val="en-US" w:eastAsia="zh-CN"/>
        </w:rPr>
        <w:t>15</w:t>
      </w:r>
      <w:r>
        <w:rPr>
          <w:rFonts w:hint="eastAsia" w:hAnsi="仿宋"/>
          <w:b w:val="0"/>
          <w:bCs/>
          <w:color w:val="auto"/>
          <w:spacing w:val="-4"/>
        </w:rPr>
        <w:t>万元。</w:t>
      </w:r>
    </w:p>
    <w:p>
      <w:pPr>
        <w:pStyle w:val="49"/>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 w:hAnsi="楷体" w:eastAsia="楷体" w:cs="楷体"/>
          <w:bCs/>
          <w:color w:val="auto"/>
        </w:rPr>
      </w:pPr>
      <w:r>
        <w:rPr>
          <w:rFonts w:hint="eastAsia" w:ascii="楷体" w:hAnsi="楷体" w:eastAsia="楷体" w:cs="楷体"/>
          <w:bCs/>
          <w:color w:val="auto"/>
        </w:rPr>
        <w:t>（二）项目预算绩效目标设定情况</w:t>
      </w:r>
    </w:p>
    <w:p>
      <w:pPr>
        <w:pStyle w:val="49"/>
        <w:keepNext w:val="0"/>
        <w:keepLines w:val="0"/>
        <w:pageBreakBefore w:val="0"/>
        <w:widowControl w:val="0"/>
        <w:kinsoku/>
        <w:wordWrap/>
        <w:overflowPunct/>
        <w:topLinePunct w:val="0"/>
        <w:autoSpaceDE/>
        <w:autoSpaceDN/>
        <w:bidi w:val="0"/>
        <w:spacing w:line="560" w:lineRule="exact"/>
        <w:ind w:firstLine="624" w:firstLineChars="200"/>
        <w:textAlignment w:val="auto"/>
        <w:rPr>
          <w:rFonts w:hAnsi="仿宋"/>
          <w:b w:val="0"/>
          <w:bCs/>
          <w:color w:val="auto"/>
          <w:spacing w:val="-4"/>
        </w:rPr>
      </w:pPr>
      <w:r>
        <w:rPr>
          <w:rFonts w:hint="eastAsia" w:hAnsi="仿宋"/>
          <w:b w:val="0"/>
          <w:bCs/>
          <w:color w:val="auto"/>
          <w:spacing w:val="-4"/>
        </w:rPr>
        <w:t>项目总投资</w:t>
      </w:r>
      <w:r>
        <w:rPr>
          <w:rFonts w:hint="eastAsia" w:hAnsi="仿宋"/>
          <w:b w:val="0"/>
          <w:bCs/>
          <w:color w:val="auto"/>
          <w:spacing w:val="-4"/>
          <w:lang w:val="en-US" w:eastAsia="zh-CN"/>
        </w:rPr>
        <w:t>15</w:t>
      </w:r>
      <w:r>
        <w:rPr>
          <w:rFonts w:hint="eastAsia" w:hAnsi="仿宋"/>
          <w:b w:val="0"/>
          <w:bCs/>
          <w:color w:val="auto"/>
          <w:spacing w:val="-4"/>
        </w:rPr>
        <w:t>万元。建设内容为：提升群众的幸福感、获得感、安全感，扎实推进乡村振兴战略的实施。</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四、项目绩效自评工作开展情况</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 w:hAnsi="楷体" w:eastAsia="楷体" w:cs="楷体"/>
          <w:b/>
          <w:bCs/>
          <w:color w:val="auto"/>
          <w:sz w:val="32"/>
          <w:szCs w:val="32"/>
        </w:rPr>
      </w:pPr>
      <w:r>
        <w:rPr>
          <w:rFonts w:hint="eastAsia" w:ascii="楷体" w:hAnsi="楷体" w:eastAsia="楷体" w:cs="楷体"/>
          <w:b/>
          <w:bCs/>
          <w:color w:val="auto"/>
          <w:sz w:val="32"/>
          <w:szCs w:val="32"/>
        </w:rPr>
        <w:t>（一）项目资金使用及管理情况分析</w:t>
      </w:r>
    </w:p>
    <w:p>
      <w:pPr>
        <w:keepNext w:val="0"/>
        <w:keepLines w:val="0"/>
        <w:pageBreakBefore w:val="0"/>
        <w:widowControl w:val="0"/>
        <w:kinsoku/>
        <w:wordWrap/>
        <w:overflowPunct/>
        <w:topLinePunct w:val="0"/>
        <w:autoSpaceDE/>
        <w:autoSpaceDN/>
        <w:bidi w:val="0"/>
        <w:spacing w:line="560" w:lineRule="exact"/>
        <w:ind w:firstLine="627" w:firstLineChars="200"/>
        <w:textAlignment w:val="auto"/>
        <w:rPr>
          <w:rStyle w:val="21"/>
          <w:rFonts w:ascii="仿宋_GB2312" w:hAnsi="仿宋_GB2312" w:eastAsia="仿宋_GB2312" w:cs="仿宋_GB2312"/>
          <w:color w:val="auto"/>
          <w:spacing w:val="-4"/>
          <w:sz w:val="32"/>
          <w:szCs w:val="32"/>
        </w:rPr>
      </w:pPr>
      <w:r>
        <w:rPr>
          <w:rStyle w:val="21"/>
          <w:rFonts w:hint="eastAsia" w:ascii="仿宋_GB2312" w:hAnsi="仿宋_GB2312" w:eastAsia="仿宋_GB2312" w:cs="仿宋_GB2312"/>
          <w:color w:val="auto"/>
          <w:spacing w:val="-4"/>
          <w:sz w:val="32"/>
          <w:szCs w:val="32"/>
        </w:rPr>
        <w:t>1</w:t>
      </w:r>
      <w:r>
        <w:rPr>
          <w:rFonts w:hint="eastAsia" w:ascii="仿宋_GB2312" w:hAnsi="仿宋_GB2312" w:eastAsia="仿宋_GB2312" w:cs="仿宋_GB2312"/>
          <w:b/>
          <w:bCs/>
          <w:color w:val="auto"/>
          <w:sz w:val="32"/>
          <w:szCs w:val="32"/>
        </w:rPr>
        <w:t>．</w:t>
      </w:r>
      <w:r>
        <w:rPr>
          <w:rStyle w:val="21"/>
          <w:rFonts w:hint="eastAsia" w:ascii="仿宋_GB2312" w:hAnsi="仿宋_GB2312" w:eastAsia="仿宋_GB2312" w:cs="仿宋_GB2312"/>
          <w:color w:val="auto"/>
          <w:spacing w:val="-4"/>
          <w:sz w:val="32"/>
          <w:szCs w:val="32"/>
        </w:rPr>
        <w:t>项目总投资及资金到位情况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Style w:val="21"/>
          <w:rFonts w:ascii="仿宋_GB2312" w:hAnsi="楷体" w:eastAsia="仿宋_GB2312"/>
          <w:color w:val="auto"/>
          <w:spacing w:val="-4"/>
          <w:sz w:val="32"/>
          <w:szCs w:val="32"/>
        </w:rPr>
      </w:pPr>
      <w:r>
        <w:rPr>
          <w:rFonts w:hint="eastAsia" w:ascii="仿宋_GB2312" w:hAnsi="仿宋" w:eastAsia="仿宋_GB2312" w:cs="仿宋"/>
          <w:color w:val="auto"/>
          <w:sz w:val="32"/>
          <w:szCs w:val="32"/>
        </w:rPr>
        <w:t>本项目总投资</w:t>
      </w:r>
      <w:r>
        <w:rPr>
          <w:rFonts w:hint="eastAsia" w:ascii="仿宋_GB2312" w:hAnsi="仿宋" w:eastAsia="仿宋_GB2312" w:cs="仿宋"/>
          <w:color w:val="auto"/>
          <w:sz w:val="32"/>
          <w:szCs w:val="32"/>
          <w:lang w:val="en-US" w:eastAsia="zh-CN"/>
        </w:rPr>
        <w:t>15</w:t>
      </w:r>
      <w:r>
        <w:rPr>
          <w:rFonts w:hint="eastAsia" w:ascii="仿宋_GB2312" w:hAnsi="仿宋" w:eastAsia="仿宋_GB2312" w:cs="仿宋"/>
          <w:color w:val="auto"/>
          <w:sz w:val="32"/>
          <w:szCs w:val="32"/>
        </w:rPr>
        <w:t>万元，其中，财政资金</w:t>
      </w:r>
      <w:r>
        <w:rPr>
          <w:rFonts w:hint="eastAsia" w:ascii="仿宋_GB2312" w:hAnsi="仿宋" w:eastAsia="仿宋_GB2312" w:cs="仿宋"/>
          <w:color w:val="auto"/>
          <w:sz w:val="32"/>
          <w:szCs w:val="32"/>
          <w:lang w:val="en-US" w:eastAsia="zh-CN"/>
        </w:rPr>
        <w:t>15</w:t>
      </w:r>
      <w:r>
        <w:rPr>
          <w:rFonts w:hint="eastAsia" w:ascii="仿宋_GB2312" w:hAnsi="仿宋" w:eastAsia="仿宋_GB2312" w:cs="仿宋"/>
          <w:color w:val="auto"/>
          <w:sz w:val="32"/>
          <w:szCs w:val="32"/>
        </w:rPr>
        <w:t>万元，其他资金0万元。</w:t>
      </w:r>
      <w:r>
        <w:rPr>
          <w:rFonts w:hint="eastAsia" w:ascii="仿宋_GB2312" w:hAnsi="仿宋" w:eastAsia="仿宋_GB2312"/>
          <w:bCs/>
          <w:color w:val="auto"/>
          <w:spacing w:val="-4"/>
          <w:sz w:val="32"/>
          <w:szCs w:val="32"/>
        </w:rPr>
        <w:t>资金到位</w:t>
      </w:r>
      <w:r>
        <w:rPr>
          <w:rFonts w:hint="eastAsia" w:ascii="仿宋_GB2312" w:hAnsi="仿宋" w:eastAsia="仿宋_GB2312"/>
          <w:bCs/>
          <w:color w:val="auto"/>
          <w:spacing w:val="-4"/>
          <w:sz w:val="32"/>
          <w:szCs w:val="32"/>
          <w:lang w:val="en-US" w:eastAsia="zh-CN"/>
        </w:rPr>
        <w:t>15</w:t>
      </w:r>
      <w:r>
        <w:rPr>
          <w:rFonts w:hint="eastAsia" w:ascii="仿宋_GB2312" w:hAnsi="仿宋" w:eastAsia="仿宋_GB2312"/>
          <w:bCs/>
          <w:color w:val="auto"/>
          <w:spacing w:val="-4"/>
          <w:sz w:val="32"/>
          <w:szCs w:val="32"/>
        </w:rPr>
        <w:t>万元，资金到位率100%。</w:t>
      </w:r>
    </w:p>
    <w:p>
      <w:pPr>
        <w:keepNext w:val="0"/>
        <w:keepLines w:val="0"/>
        <w:pageBreakBefore w:val="0"/>
        <w:widowControl w:val="0"/>
        <w:kinsoku/>
        <w:wordWrap/>
        <w:overflowPunct/>
        <w:topLinePunct w:val="0"/>
        <w:autoSpaceDE/>
        <w:autoSpaceDN/>
        <w:bidi w:val="0"/>
        <w:spacing w:line="560" w:lineRule="exact"/>
        <w:ind w:firstLine="627" w:firstLineChars="200"/>
        <w:textAlignment w:val="auto"/>
        <w:rPr>
          <w:rStyle w:val="21"/>
          <w:rFonts w:ascii="仿宋_GB2312" w:hAnsi="仿宋_GB2312" w:eastAsia="仿宋_GB2312" w:cs="仿宋_GB2312"/>
          <w:color w:val="auto"/>
          <w:spacing w:val="-4"/>
          <w:sz w:val="32"/>
          <w:szCs w:val="32"/>
        </w:rPr>
      </w:pPr>
      <w:r>
        <w:rPr>
          <w:rStyle w:val="21"/>
          <w:rFonts w:hint="eastAsia" w:ascii="仿宋_GB2312" w:hAnsi="仿宋_GB2312" w:eastAsia="仿宋_GB2312" w:cs="仿宋_GB2312"/>
          <w:color w:val="auto"/>
          <w:spacing w:val="-4"/>
          <w:sz w:val="32"/>
          <w:szCs w:val="32"/>
        </w:rPr>
        <w:t>2．项目资金实际使用情况</w:t>
      </w:r>
    </w:p>
    <w:p>
      <w:pPr>
        <w:pStyle w:val="49"/>
        <w:keepNext w:val="0"/>
        <w:keepLines w:val="0"/>
        <w:pageBreakBefore w:val="0"/>
        <w:widowControl w:val="0"/>
        <w:kinsoku/>
        <w:wordWrap/>
        <w:overflowPunct/>
        <w:topLinePunct w:val="0"/>
        <w:autoSpaceDE/>
        <w:autoSpaceDN/>
        <w:bidi w:val="0"/>
        <w:spacing w:line="560" w:lineRule="exact"/>
        <w:ind w:firstLine="624" w:firstLineChars="200"/>
        <w:textAlignment w:val="auto"/>
        <w:rPr>
          <w:rFonts w:hAnsi="仿宋"/>
          <w:b w:val="0"/>
          <w:bCs/>
          <w:color w:val="auto"/>
          <w:spacing w:val="-4"/>
        </w:rPr>
      </w:pPr>
      <w:r>
        <w:rPr>
          <w:rFonts w:hint="eastAsia" w:hAnsi="仿宋"/>
          <w:b w:val="0"/>
          <w:bCs/>
          <w:color w:val="auto"/>
          <w:spacing w:val="-4"/>
        </w:rPr>
        <w:t>本项目总投资</w:t>
      </w:r>
      <w:r>
        <w:rPr>
          <w:rFonts w:hint="eastAsia" w:hAnsi="仿宋"/>
          <w:b w:val="0"/>
          <w:bCs/>
          <w:color w:val="auto"/>
          <w:spacing w:val="-4"/>
          <w:lang w:val="en-US" w:eastAsia="zh-CN"/>
        </w:rPr>
        <w:t>15</w:t>
      </w:r>
      <w:r>
        <w:rPr>
          <w:rFonts w:hint="eastAsia" w:hAnsi="仿宋"/>
          <w:b w:val="0"/>
          <w:bCs/>
          <w:color w:val="auto"/>
          <w:spacing w:val="-4"/>
        </w:rPr>
        <w:t>万元，实际支付资金</w:t>
      </w:r>
      <w:r>
        <w:rPr>
          <w:rFonts w:hint="eastAsia" w:hAnsi="仿宋"/>
          <w:b w:val="0"/>
          <w:bCs/>
          <w:color w:val="auto"/>
          <w:spacing w:val="-4"/>
          <w:lang w:val="en-US" w:eastAsia="zh-CN"/>
        </w:rPr>
        <w:t>15</w:t>
      </w:r>
      <w:r>
        <w:rPr>
          <w:rFonts w:hint="eastAsia" w:hAnsi="仿宋"/>
          <w:b w:val="0"/>
          <w:bCs/>
          <w:color w:val="auto"/>
          <w:spacing w:val="-4"/>
        </w:rPr>
        <w:t>万元，执行率</w:t>
      </w:r>
      <w:r>
        <w:rPr>
          <w:rFonts w:hint="eastAsia" w:hAnsi="仿宋"/>
          <w:b w:val="0"/>
          <w:bCs/>
          <w:color w:val="auto"/>
          <w:spacing w:val="-4"/>
          <w:lang w:val="en-US" w:eastAsia="zh-CN"/>
        </w:rPr>
        <w:t>100</w:t>
      </w:r>
      <w:r>
        <w:rPr>
          <w:rFonts w:hint="eastAsia" w:hAnsi="仿宋"/>
          <w:b w:val="0"/>
          <w:bCs/>
          <w:color w:val="auto"/>
          <w:spacing w:val="-4"/>
        </w:rPr>
        <w:t>%。项目资金主要用于</w:t>
      </w:r>
      <w:r>
        <w:rPr>
          <w:rFonts w:hint="eastAsia" w:hAnsi="仿宋_GB2312" w:cs="仿宋_GB2312"/>
          <w:b w:val="0"/>
          <w:bCs/>
          <w:color w:val="auto"/>
        </w:rPr>
        <w:t>茶</w:t>
      </w:r>
      <w:r>
        <w:rPr>
          <w:rFonts w:hint="eastAsia" w:hAnsi="仿宋"/>
          <w:b w:val="0"/>
          <w:bCs/>
          <w:color w:val="auto"/>
          <w:spacing w:val="-4"/>
          <w:lang w:val="en-US" w:eastAsia="zh-CN"/>
        </w:rPr>
        <w:t>15</w:t>
      </w:r>
      <w:r>
        <w:rPr>
          <w:rFonts w:hint="eastAsia" w:hAnsi="仿宋"/>
          <w:b w:val="0"/>
          <w:bCs/>
          <w:color w:val="auto"/>
          <w:spacing w:val="-4"/>
        </w:rPr>
        <w:t>万元</w:t>
      </w:r>
      <w:r>
        <w:rPr>
          <w:rFonts w:hint="eastAsia" w:hAnsi="仿宋"/>
          <w:b w:val="0"/>
          <w:bCs/>
          <w:color w:val="auto"/>
          <w:spacing w:val="-4"/>
          <w:lang w:eastAsia="zh-CN"/>
        </w:rPr>
        <w:t>，</w:t>
      </w:r>
      <w:r>
        <w:rPr>
          <w:rFonts w:hint="eastAsia" w:hAnsi="仿宋"/>
          <w:b w:val="0"/>
          <w:bCs/>
          <w:color w:val="auto"/>
          <w:spacing w:val="-4"/>
          <w:lang w:val="en-US" w:eastAsia="zh-CN"/>
        </w:rPr>
        <w:t>资金全部支出</w:t>
      </w:r>
      <w:r>
        <w:rPr>
          <w:rFonts w:hint="eastAsia" w:hAnsi="仿宋"/>
          <w:b w:val="0"/>
          <w:bCs/>
          <w:color w:val="auto"/>
          <w:spacing w:val="-4"/>
        </w:rPr>
        <w:t>。</w:t>
      </w:r>
    </w:p>
    <w:p>
      <w:pPr>
        <w:keepNext w:val="0"/>
        <w:keepLines w:val="0"/>
        <w:pageBreakBefore w:val="0"/>
        <w:widowControl w:val="0"/>
        <w:kinsoku/>
        <w:wordWrap/>
        <w:overflowPunct/>
        <w:topLinePunct w:val="0"/>
        <w:autoSpaceDE/>
        <w:autoSpaceDN/>
        <w:bidi w:val="0"/>
        <w:spacing w:line="560" w:lineRule="exact"/>
        <w:ind w:firstLine="627" w:firstLineChars="200"/>
        <w:textAlignment w:val="auto"/>
        <w:rPr>
          <w:rStyle w:val="21"/>
          <w:rFonts w:ascii="仿宋_GB2312" w:hAnsi="仿宋_GB2312" w:eastAsia="仿宋_GB2312" w:cs="仿宋_GB2312"/>
          <w:color w:val="auto"/>
          <w:spacing w:val="-4"/>
          <w:sz w:val="32"/>
          <w:szCs w:val="32"/>
        </w:rPr>
      </w:pPr>
      <w:r>
        <w:rPr>
          <w:rStyle w:val="21"/>
          <w:rFonts w:hint="eastAsia" w:ascii="仿宋_GB2312" w:hAnsi="仿宋_GB2312" w:eastAsia="仿宋_GB2312" w:cs="仿宋_GB2312"/>
          <w:color w:val="auto"/>
          <w:spacing w:val="-4"/>
          <w:sz w:val="32"/>
          <w:szCs w:val="32"/>
        </w:rPr>
        <w:t>3．项目资金管理情况</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根据中央和自治区项目资金管理办法的要求，</w:t>
      </w:r>
      <w:r>
        <w:rPr>
          <w:rFonts w:hint="eastAsia"/>
          <w:b w:val="0"/>
          <w:bCs/>
          <w:color w:val="auto"/>
          <w:lang w:val="en-US" w:eastAsia="zh-CN"/>
        </w:rPr>
        <w:t>阿图什市</w:t>
      </w:r>
      <w:r>
        <w:rPr>
          <w:rFonts w:hint="eastAsia" w:hAnsi="仿宋_GB2312" w:cs="仿宋_GB2312"/>
          <w:b w:val="0"/>
          <w:color w:val="auto"/>
        </w:rPr>
        <w:t>财政局制定了《财政衔接推进乡村振兴补助资金管理办法》。阿图什市委统战部严格按照衔接资金项目资金管理办法的要求管理使用项目资金。</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资金支付由本单位分管领导、主管财务领导、阿图什市委统战部财政局等部门审批审核；资金的支付有完整的审批程序，支付手续符合制度要求；不存在截留、挤占、挪用、虚列支出等情况。</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 w:hAnsi="楷体" w:eastAsia="楷体" w:cs="楷体"/>
          <w:b/>
          <w:bCs/>
          <w:color w:val="auto"/>
          <w:sz w:val="32"/>
          <w:szCs w:val="32"/>
        </w:rPr>
      </w:pPr>
      <w:r>
        <w:rPr>
          <w:rFonts w:hint="eastAsia" w:ascii="楷体" w:hAnsi="楷体" w:eastAsia="楷体" w:cs="楷体"/>
          <w:b/>
          <w:bCs/>
          <w:color w:val="auto"/>
          <w:sz w:val="32"/>
          <w:szCs w:val="32"/>
        </w:rPr>
        <w:t>（二）项目组织实施情况分析</w:t>
      </w:r>
    </w:p>
    <w:p>
      <w:pPr>
        <w:keepNext w:val="0"/>
        <w:keepLines w:val="0"/>
        <w:pageBreakBefore w:val="0"/>
        <w:widowControl w:val="0"/>
        <w:kinsoku/>
        <w:wordWrap/>
        <w:overflowPunct/>
        <w:topLinePunct w:val="0"/>
        <w:autoSpaceDE/>
        <w:autoSpaceDN/>
        <w:bidi w:val="0"/>
        <w:spacing w:line="560" w:lineRule="exact"/>
        <w:ind w:firstLine="627" w:firstLineChars="200"/>
        <w:textAlignment w:val="auto"/>
        <w:rPr>
          <w:rStyle w:val="21"/>
          <w:rFonts w:ascii="仿宋_GB2312" w:hAnsi="仿宋_GB2312" w:eastAsia="仿宋_GB2312" w:cs="仿宋_GB2312"/>
          <w:color w:val="auto"/>
          <w:spacing w:val="-4"/>
          <w:sz w:val="32"/>
          <w:szCs w:val="32"/>
        </w:rPr>
      </w:pPr>
      <w:r>
        <w:rPr>
          <w:rStyle w:val="21"/>
          <w:rFonts w:hint="eastAsia" w:ascii="仿宋_GB2312" w:hAnsi="仿宋_GB2312" w:eastAsia="仿宋_GB2312" w:cs="仿宋_GB2312"/>
          <w:color w:val="auto"/>
          <w:spacing w:val="-4"/>
          <w:sz w:val="32"/>
          <w:szCs w:val="32"/>
        </w:rPr>
        <w:t>1</w:t>
      </w:r>
      <w:r>
        <w:rPr>
          <w:rFonts w:hint="eastAsia" w:ascii="仿宋_GB2312" w:hAnsi="仿宋_GB2312" w:eastAsia="仿宋_GB2312" w:cs="仿宋_GB2312"/>
          <w:b/>
          <w:bCs/>
          <w:color w:val="auto"/>
          <w:sz w:val="32"/>
          <w:szCs w:val="32"/>
        </w:rPr>
        <w:t>．</w:t>
      </w:r>
      <w:r>
        <w:rPr>
          <w:rStyle w:val="21"/>
          <w:rFonts w:hint="eastAsia" w:ascii="仿宋_GB2312" w:hAnsi="仿宋_GB2312" w:eastAsia="仿宋_GB2312" w:cs="仿宋_GB2312"/>
          <w:color w:val="auto"/>
          <w:spacing w:val="-4"/>
          <w:sz w:val="32"/>
          <w:szCs w:val="32"/>
        </w:rPr>
        <w:t>项目组织情况分析</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本项目属于</w:t>
      </w:r>
      <w:r>
        <w:rPr>
          <w:rFonts w:hint="eastAsia" w:hAnsi="仿宋_GB2312" w:cs="仿宋_GB2312"/>
          <w:b w:val="0"/>
          <w:color w:val="auto"/>
          <w:lang w:val="en-US" w:eastAsia="zh-CN"/>
        </w:rPr>
        <w:t>采购类</w:t>
      </w:r>
      <w:r>
        <w:rPr>
          <w:rFonts w:hint="eastAsia" w:hAnsi="仿宋_GB2312" w:cs="仿宋_GB2312"/>
          <w:b w:val="0"/>
          <w:color w:val="auto"/>
        </w:rPr>
        <w:t>项目，阿图什市委统战部严格按照《中华人民共和国政府采购法》的规定，公开、公平、公正的原则开展工作，及时与单位签订相关合同；项目按照组织管理实施、验收，按照质量要求监督管理推动项目实施。</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（1）项目立项情况：202</w:t>
      </w:r>
      <w:r>
        <w:rPr>
          <w:rFonts w:hint="eastAsia" w:hAnsi="仿宋_GB2312" w:cs="仿宋_GB2312"/>
          <w:b w:val="0"/>
          <w:color w:val="auto"/>
          <w:lang w:val="en-US" w:eastAsia="zh-CN"/>
        </w:rPr>
        <w:t>3</w:t>
      </w:r>
      <w:r>
        <w:rPr>
          <w:rFonts w:hint="eastAsia" w:hAnsi="仿宋_GB2312" w:cs="仿宋_GB2312"/>
          <w:b w:val="0"/>
          <w:color w:val="auto"/>
        </w:rPr>
        <w:t>年</w:t>
      </w:r>
      <w:r>
        <w:rPr>
          <w:rFonts w:hint="eastAsia" w:hAnsi="仿宋_GB2312" w:cs="仿宋_GB2312"/>
          <w:b w:val="0"/>
          <w:color w:val="auto"/>
          <w:lang w:val="en-US" w:eastAsia="zh-CN"/>
        </w:rPr>
        <w:t>5</w:t>
      </w:r>
      <w:r>
        <w:rPr>
          <w:rFonts w:hint="eastAsia" w:hAnsi="仿宋_GB2312" w:cs="仿宋_GB2312"/>
          <w:b w:val="0"/>
          <w:color w:val="auto"/>
        </w:rPr>
        <w:t>月</w:t>
      </w:r>
      <w:r>
        <w:rPr>
          <w:rFonts w:hint="eastAsia" w:hAnsi="仿宋_GB2312" w:cs="仿宋_GB2312"/>
          <w:b w:val="0"/>
          <w:color w:val="auto"/>
          <w:lang w:val="en-US" w:eastAsia="zh-CN"/>
        </w:rPr>
        <w:t>17</w:t>
      </w:r>
      <w:r>
        <w:rPr>
          <w:rFonts w:hint="eastAsia" w:hAnsi="仿宋_GB2312" w:cs="仿宋_GB2312"/>
          <w:b w:val="0"/>
          <w:color w:val="auto"/>
        </w:rPr>
        <w:t>日</w:t>
      </w:r>
      <w:r>
        <w:rPr>
          <w:rFonts w:hint="eastAsia" w:hAnsi="仿宋_GB2312" w:cs="仿宋_GB2312"/>
          <w:b w:val="0"/>
          <w:color w:val="auto"/>
          <w:lang w:val="en-US" w:eastAsia="zh-CN"/>
        </w:rPr>
        <w:t>阿图什市委农村工作领导小组暨乡村振兴领导小组办公室研究通过</w:t>
      </w:r>
      <w:r>
        <w:rPr>
          <w:rFonts w:hint="eastAsia" w:hAnsi="仿宋_GB2312" w:cs="仿宋_GB2312"/>
          <w:b w:val="0"/>
          <w:color w:val="auto"/>
        </w:rPr>
        <w:t>，由阿图什市委统战部组织实施。项目实施过程均按照资金、项目管理制度和实施方案内容执行。本项目不存在变更情况。</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（2）项目启动情况：202</w:t>
      </w:r>
      <w:r>
        <w:rPr>
          <w:rFonts w:hint="eastAsia" w:hAnsi="仿宋_GB2312" w:cs="仿宋_GB2312"/>
          <w:b w:val="0"/>
          <w:color w:val="auto"/>
          <w:lang w:val="en-US" w:eastAsia="zh-CN"/>
        </w:rPr>
        <w:t>3</w:t>
      </w:r>
      <w:r>
        <w:rPr>
          <w:rFonts w:hint="eastAsia" w:hAnsi="仿宋_GB2312" w:cs="仿宋_GB2312"/>
          <w:b w:val="0"/>
          <w:color w:val="auto"/>
        </w:rPr>
        <w:t>年</w:t>
      </w:r>
      <w:r>
        <w:rPr>
          <w:rFonts w:hint="eastAsia" w:hAnsi="仿宋_GB2312" w:cs="仿宋_GB2312"/>
          <w:b w:val="0"/>
          <w:color w:val="auto"/>
          <w:lang w:val="en-US" w:eastAsia="zh-CN"/>
        </w:rPr>
        <w:t>5</w:t>
      </w:r>
      <w:r>
        <w:rPr>
          <w:rFonts w:hint="eastAsia" w:hAnsi="仿宋_GB2312" w:cs="仿宋_GB2312"/>
          <w:b w:val="0"/>
          <w:color w:val="auto"/>
        </w:rPr>
        <w:t>月</w:t>
      </w:r>
      <w:r>
        <w:rPr>
          <w:rFonts w:hint="eastAsia" w:hAnsi="仿宋_GB2312" w:cs="仿宋_GB2312"/>
          <w:b w:val="0"/>
          <w:color w:val="auto"/>
          <w:lang w:val="en-US" w:eastAsia="zh-CN"/>
        </w:rPr>
        <w:t>17</w:t>
      </w:r>
      <w:r>
        <w:rPr>
          <w:rFonts w:hint="eastAsia" w:hAnsi="仿宋_GB2312" w:cs="仿宋_GB2312"/>
          <w:b w:val="0"/>
          <w:color w:val="auto"/>
        </w:rPr>
        <w:t>日，</w:t>
      </w:r>
      <w:r>
        <w:rPr>
          <w:rFonts w:hint="eastAsia" w:hAnsi="仿宋_GB2312" w:cs="仿宋_GB2312"/>
          <w:b w:val="0"/>
          <w:color w:val="auto"/>
          <w:highlight w:val="none"/>
        </w:rPr>
        <w:t>阿图什市委农村工作领导小组暨乡村振兴领导小组</w:t>
      </w:r>
      <w:r>
        <w:rPr>
          <w:rFonts w:hint="eastAsia" w:hAnsi="仿宋_GB2312" w:cs="仿宋_GB2312"/>
          <w:b w:val="0"/>
          <w:color w:val="auto"/>
          <w:highlight w:val="none"/>
          <w:lang w:val="en-US" w:eastAsia="zh-CN"/>
        </w:rPr>
        <w:t>办公室出具</w:t>
      </w:r>
      <w:r>
        <w:rPr>
          <w:rFonts w:hint="eastAsia" w:hAnsi="仿宋_GB2312" w:cs="仿宋_GB2312"/>
          <w:b w:val="0"/>
          <w:color w:val="auto"/>
          <w:highlight w:val="none"/>
        </w:rPr>
        <w:t>的《关于阿图什市2023年巩固拓展脱贫攻坚成果同乡村振兴有效衔接项目计划的批复》</w:t>
      </w:r>
      <w:r>
        <w:rPr>
          <w:rFonts w:hint="eastAsia" w:hAnsi="仿宋_GB2312" w:cs="仿宋_GB2312"/>
          <w:b w:val="0"/>
          <w:color w:val="auto"/>
        </w:rPr>
        <w:t>。</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（3）项目招投标及合同签订情况</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本项目属于采购到户项目，不存在招标情况。（根据《关于印发&lt;新疆维吾尔自治区2021-2022年度政府集中采购目录及标准&gt;的通知》（新财购〔2020〕15号）文件中第三条分散采购限额标准“货物、服务项目分散采购限额标准为50万元”，由于茶项目总金额不到50万元，经与市财政局、乡村振兴局对接，选择政采云采购的方式来确定采购公司，在政采云平台选取茶销售</w:t>
      </w:r>
      <w:r>
        <w:rPr>
          <w:rFonts w:hint="eastAsia" w:hAnsi="仿宋_GB2312" w:cs="仿宋_GB2312"/>
          <w:b w:val="0"/>
          <w:color w:val="auto"/>
          <w:lang w:val="en-US" w:eastAsia="zh-CN"/>
        </w:rPr>
        <w:t>方</w:t>
      </w:r>
      <w:r>
        <w:rPr>
          <w:rFonts w:hint="eastAsia" w:hAnsi="仿宋_GB2312" w:cs="仿宋_GB2312"/>
          <w:b w:val="0"/>
          <w:color w:val="auto"/>
        </w:rPr>
        <w:t>，</w:t>
      </w:r>
      <w:r>
        <w:rPr>
          <w:rFonts w:hint="eastAsia" w:hAnsi="仿宋_GB2312" w:cs="仿宋_GB2312"/>
          <w:b w:val="0"/>
          <w:color w:val="auto"/>
          <w:lang w:val="en-US" w:eastAsia="zh-CN"/>
        </w:rPr>
        <w:t>并签订了相关合同</w:t>
      </w:r>
      <w:r>
        <w:rPr>
          <w:rFonts w:hint="eastAsia" w:hAnsi="仿宋_GB2312" w:cs="仿宋_GB2312"/>
          <w:b w:val="0"/>
          <w:color w:val="auto"/>
        </w:rPr>
        <w:t>。</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（4）项目验收情况</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根据脱贫户产业发展需求，因户制宜、因户施策建立受益脱贫户台账，市级成立验收评价小组，由阿图什市委农村工作领导小组暨乡村振兴领导小组牵头组织</w:t>
      </w:r>
      <w:r>
        <w:rPr>
          <w:rFonts w:hint="eastAsia" w:hAnsi="仿宋_GB2312" w:cs="仿宋_GB2312"/>
          <w:b w:val="0"/>
          <w:color w:val="auto"/>
          <w:lang w:val="en-US" w:eastAsia="zh-CN"/>
        </w:rPr>
        <w:t>阿图什市委统战部</w:t>
      </w:r>
      <w:r>
        <w:rPr>
          <w:rFonts w:hint="eastAsia" w:hAnsi="仿宋_GB2312" w:cs="仿宋_GB2312"/>
          <w:b w:val="0"/>
          <w:color w:val="auto"/>
        </w:rPr>
        <w:t>、乡村振兴局、各乡镇（街道）于202</w:t>
      </w:r>
      <w:r>
        <w:rPr>
          <w:rFonts w:hint="eastAsia" w:hAnsi="仿宋_GB2312" w:cs="仿宋_GB2312"/>
          <w:b w:val="0"/>
          <w:color w:val="auto"/>
          <w:lang w:val="en-US" w:eastAsia="zh-CN"/>
        </w:rPr>
        <w:t>3</w:t>
      </w:r>
      <w:r>
        <w:rPr>
          <w:rFonts w:hint="eastAsia" w:hAnsi="仿宋_GB2312" w:cs="仿宋_GB2312"/>
          <w:b w:val="0"/>
          <w:color w:val="auto"/>
        </w:rPr>
        <w:t>年</w:t>
      </w:r>
      <w:r>
        <w:rPr>
          <w:rFonts w:hint="eastAsia" w:hAnsi="仿宋_GB2312" w:cs="仿宋_GB2312"/>
          <w:b w:val="0"/>
          <w:color w:val="auto"/>
          <w:lang w:val="en-US" w:eastAsia="zh-CN"/>
        </w:rPr>
        <w:t>9</w:t>
      </w:r>
      <w:r>
        <w:rPr>
          <w:rFonts w:hint="eastAsia" w:hAnsi="仿宋_GB2312" w:cs="仿宋_GB2312"/>
          <w:b w:val="0"/>
          <w:color w:val="auto"/>
        </w:rPr>
        <w:t>月对项目进行终验。</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（5）</w:t>
      </w:r>
      <w:bookmarkStart w:id="1" w:name="_GoBack"/>
      <w:bookmarkEnd w:id="1"/>
      <w:r>
        <w:rPr>
          <w:rFonts w:hint="eastAsia" w:hAnsi="仿宋_GB2312" w:cs="仿宋_GB2312"/>
          <w:b w:val="0"/>
          <w:color w:val="auto"/>
        </w:rPr>
        <w:t>项目绩效监控情况</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202</w:t>
      </w:r>
      <w:r>
        <w:rPr>
          <w:rFonts w:hint="eastAsia" w:hAnsi="仿宋_GB2312" w:cs="仿宋_GB2312"/>
          <w:b w:val="0"/>
          <w:color w:val="auto"/>
          <w:lang w:val="en-US" w:eastAsia="zh-CN"/>
        </w:rPr>
        <w:t>3</w:t>
      </w:r>
      <w:r>
        <w:rPr>
          <w:rFonts w:hint="eastAsia" w:hAnsi="仿宋_GB2312" w:cs="仿宋_GB2312"/>
          <w:b w:val="0"/>
          <w:color w:val="auto"/>
        </w:rPr>
        <w:t>年</w:t>
      </w:r>
      <w:r>
        <w:rPr>
          <w:rFonts w:hint="eastAsia" w:hAnsi="仿宋_GB2312" w:cs="仿宋_GB2312"/>
          <w:b w:val="0"/>
          <w:color w:val="auto"/>
          <w:lang w:val="en-US" w:eastAsia="zh-CN"/>
        </w:rPr>
        <w:t>8</w:t>
      </w:r>
      <w:r>
        <w:rPr>
          <w:rFonts w:hint="eastAsia" w:hAnsi="仿宋_GB2312" w:cs="仿宋_GB2312"/>
          <w:b w:val="0"/>
          <w:color w:val="auto"/>
        </w:rPr>
        <w:t>月对项目按照绩效目标内容开展了绩效监控。监控中</w:t>
      </w:r>
      <w:r>
        <w:rPr>
          <w:rFonts w:hint="eastAsia" w:hAnsi="仿宋_GB2312" w:cs="仿宋_GB2312"/>
          <w:b w:val="0"/>
          <w:color w:val="auto"/>
          <w:lang w:val="en-US" w:eastAsia="zh-CN"/>
        </w:rPr>
        <w:t>未</w:t>
      </w:r>
      <w:r>
        <w:rPr>
          <w:rFonts w:hint="eastAsia" w:hAnsi="仿宋_GB2312" w:cs="仿宋_GB2312"/>
          <w:b w:val="0"/>
          <w:color w:val="auto"/>
        </w:rPr>
        <w:t>发现问题。</w:t>
      </w:r>
    </w:p>
    <w:p>
      <w:pPr>
        <w:keepNext w:val="0"/>
        <w:keepLines w:val="0"/>
        <w:pageBreakBefore w:val="0"/>
        <w:widowControl w:val="0"/>
        <w:kinsoku/>
        <w:wordWrap/>
        <w:overflowPunct/>
        <w:topLinePunct w:val="0"/>
        <w:autoSpaceDE/>
        <w:autoSpaceDN/>
        <w:bidi w:val="0"/>
        <w:spacing w:line="560" w:lineRule="exact"/>
        <w:ind w:firstLine="627" w:firstLineChars="200"/>
        <w:textAlignment w:val="auto"/>
        <w:rPr>
          <w:rStyle w:val="21"/>
          <w:rFonts w:ascii="仿宋_GB2312" w:hAnsi="仿宋_GB2312" w:eastAsia="仿宋_GB2312" w:cs="仿宋_GB2312"/>
          <w:color w:val="auto"/>
          <w:spacing w:val="-4"/>
          <w:sz w:val="32"/>
          <w:szCs w:val="32"/>
        </w:rPr>
      </w:pPr>
      <w:r>
        <w:rPr>
          <w:rStyle w:val="21"/>
          <w:rFonts w:hint="eastAsia" w:ascii="仿宋_GB2312" w:hAnsi="仿宋_GB2312" w:eastAsia="仿宋_GB2312" w:cs="仿宋_GB2312"/>
          <w:color w:val="auto"/>
          <w:spacing w:val="-4"/>
          <w:sz w:val="32"/>
          <w:szCs w:val="32"/>
        </w:rPr>
        <w:t>2．项目管理情况分析</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项目实施单位阿图什市委统战部为加强组织领</w:t>
      </w:r>
      <w:bookmarkStart w:id="0" w:name="qihoosnap3"/>
      <w:bookmarkEnd w:id="0"/>
      <w:r>
        <w:rPr>
          <w:rFonts w:hint="eastAsia" w:hAnsi="仿宋_GB2312" w:cs="仿宋_GB2312"/>
          <w:b w:val="0"/>
          <w:color w:val="auto"/>
        </w:rPr>
        <w:t>导，严格程序、规范运行，成立监督组织机构。</w:t>
      </w:r>
      <w:r>
        <w:rPr>
          <w:rFonts w:hint="eastAsia" w:hAnsi="仿宋_GB2312" w:cs="仿宋_GB2312"/>
          <w:b w:val="0"/>
          <w:color w:val="auto"/>
          <w:highlight w:val="none"/>
        </w:rPr>
        <w:t>以</w:t>
      </w:r>
      <w:r>
        <w:rPr>
          <w:rFonts w:hint="eastAsia" w:hAnsi="仿宋_GB2312" w:cs="仿宋_GB2312"/>
          <w:b w:val="0"/>
          <w:color w:val="auto"/>
          <w:highlight w:val="none"/>
          <w:lang w:val="en-US" w:eastAsia="zh-CN"/>
        </w:rPr>
        <w:t>阿图什市委统战部</w:t>
      </w:r>
      <w:r>
        <w:rPr>
          <w:rFonts w:hint="eastAsia" w:hAnsi="仿宋_GB2312" w:cs="仿宋_GB2312"/>
          <w:b w:val="0"/>
          <w:color w:val="auto"/>
          <w:highlight w:val="none"/>
        </w:rPr>
        <w:t>常务副部长</w:t>
      </w:r>
      <w:r>
        <w:rPr>
          <w:rFonts w:hint="eastAsia" w:hAnsi="仿宋_GB2312" w:cs="仿宋_GB2312"/>
          <w:b w:val="0"/>
          <w:color w:val="auto"/>
          <w:highlight w:val="none"/>
          <w:lang w:val="en-US" w:eastAsia="zh-CN"/>
        </w:rPr>
        <w:t xml:space="preserve">   </w:t>
      </w:r>
      <w:r>
        <w:rPr>
          <w:rFonts w:hint="eastAsia" w:hAnsi="仿宋_GB2312" w:cs="仿宋_GB2312"/>
          <w:b w:val="0"/>
          <w:color w:val="auto"/>
          <w:highlight w:val="none"/>
        </w:rPr>
        <w:t>为组长，</w:t>
      </w:r>
      <w:r>
        <w:rPr>
          <w:rFonts w:hint="eastAsia" w:hAnsi="仿宋_GB2312" w:cs="仿宋_GB2312"/>
          <w:b w:val="0"/>
          <w:color w:val="auto"/>
          <w:highlight w:val="none"/>
          <w:lang w:val="en-US" w:eastAsia="zh-CN"/>
        </w:rPr>
        <w:t>阿图什市委统战部</w:t>
      </w:r>
      <w:r>
        <w:rPr>
          <w:rFonts w:hint="eastAsia" w:hAnsi="仿宋_GB2312" w:cs="仿宋_GB2312"/>
          <w:b w:val="0"/>
          <w:color w:val="auto"/>
          <w:highlight w:val="none"/>
        </w:rPr>
        <w:t>副部长</w:t>
      </w:r>
      <w:r>
        <w:rPr>
          <w:rFonts w:hint="eastAsia" w:hAnsi="仿宋_GB2312" w:cs="仿宋_GB2312"/>
          <w:b w:val="0"/>
          <w:color w:val="auto"/>
          <w:highlight w:val="none"/>
          <w:lang w:val="en-US" w:eastAsia="zh-CN"/>
        </w:rPr>
        <w:t xml:space="preserve">  </w:t>
      </w:r>
      <w:r>
        <w:rPr>
          <w:rFonts w:hint="eastAsia" w:hAnsi="仿宋_GB2312" w:cs="仿宋_GB2312"/>
          <w:b w:val="0"/>
          <w:color w:val="auto"/>
          <w:highlight w:val="none"/>
        </w:rPr>
        <w:t>为副组长</w:t>
      </w:r>
      <w:r>
        <w:rPr>
          <w:rFonts w:hint="eastAsia" w:hAnsi="仿宋_GB2312" w:cs="仿宋_GB2312"/>
          <w:b w:val="0"/>
          <w:color w:val="auto"/>
        </w:rPr>
        <w:t>，相关责任科室为成员的项目建设督导检查小组。督导检查项目进度，协调解决项目实施过程中遇到的问题和困难，加快项目推进速度。将相关工作任务分解到相关责任科室、每一个责任人，从而达到脱贫攻坚，全员参与，任何人不能置身事外，做到“人人有事做、事事有人管”。严格遵守相关法律法规和业务管理规定，对项目资料及时收集整理并归档。建立《日常检查监督检查机制》，不定期对项目进行督导检查，对检查过程中发现的问题及时督促整改。</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在项目的具体实施过程中还应加强项目财务收支管理，节约财务支出，建立严格的财务管理制度。加快项目进度，要求人员对过程的计量、进行全过程监控，及时解决</w:t>
      </w:r>
      <w:r>
        <w:rPr>
          <w:rFonts w:hint="eastAsia" w:hAnsi="仿宋_GB2312" w:cs="仿宋_GB2312"/>
          <w:b w:val="0"/>
          <w:color w:val="auto"/>
          <w:lang w:val="en-US" w:eastAsia="zh-CN"/>
        </w:rPr>
        <w:t>实施</w:t>
      </w:r>
      <w:r>
        <w:rPr>
          <w:rFonts w:hint="eastAsia" w:hAnsi="仿宋_GB2312" w:cs="仿宋_GB2312"/>
          <w:b w:val="0"/>
          <w:color w:val="auto"/>
        </w:rPr>
        <w:t>过程中遇到的实际问题，及时调整相应的费用，保证项目顺利进行。确保财政资金支出有据、有效，项目完成高质量。</w:t>
      </w:r>
    </w:p>
    <w:p>
      <w:pPr>
        <w:pStyle w:val="49"/>
        <w:keepNext w:val="0"/>
        <w:keepLines w:val="0"/>
        <w:pageBreakBefore w:val="0"/>
        <w:widowControl w:val="0"/>
        <w:kinsoku/>
        <w:wordWrap/>
        <w:overflowPunct/>
        <w:topLinePunct w:val="0"/>
        <w:autoSpaceDE/>
        <w:autoSpaceDN/>
        <w:bidi w:val="0"/>
        <w:spacing w:line="560" w:lineRule="exact"/>
        <w:ind w:firstLine="643" w:firstLineChars="200"/>
        <w:textAlignment w:val="auto"/>
        <w:rPr>
          <w:rFonts w:hAnsi="仿宋_GB2312" w:cs="仿宋_GB2312"/>
          <w:b/>
          <w:bCs/>
          <w:color w:val="auto"/>
        </w:rPr>
      </w:pPr>
      <w:r>
        <w:rPr>
          <w:rFonts w:hint="eastAsia" w:ascii="楷体" w:hAnsi="楷体" w:eastAsia="楷体" w:cs="楷体"/>
          <w:b/>
          <w:bCs/>
          <w:color w:val="auto"/>
        </w:rPr>
        <w:t>（三）项目绩效目标完成情况分析</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本项目共设置一级指标</w:t>
      </w:r>
      <w:r>
        <w:rPr>
          <w:rFonts w:hint="eastAsia" w:hAnsi="仿宋_GB2312" w:cs="仿宋_GB2312"/>
          <w:b w:val="0"/>
          <w:color w:val="auto"/>
          <w:lang w:val="en-US" w:eastAsia="zh-CN"/>
        </w:rPr>
        <w:t>3</w:t>
      </w:r>
      <w:r>
        <w:rPr>
          <w:rFonts w:hint="eastAsia" w:hAnsi="仿宋_GB2312" w:cs="仿宋_GB2312"/>
          <w:b w:val="0"/>
          <w:color w:val="auto"/>
        </w:rPr>
        <w:t>个，二级指标</w:t>
      </w:r>
      <w:r>
        <w:rPr>
          <w:rFonts w:hint="eastAsia" w:hAnsi="仿宋_GB2312" w:cs="仿宋_GB2312"/>
          <w:b w:val="0"/>
          <w:color w:val="auto"/>
          <w:lang w:val="en-US" w:eastAsia="zh-CN"/>
        </w:rPr>
        <w:t>7</w:t>
      </w:r>
      <w:r>
        <w:rPr>
          <w:rFonts w:hint="eastAsia" w:hAnsi="仿宋_GB2312" w:cs="仿宋_GB2312"/>
          <w:b w:val="0"/>
          <w:color w:val="auto"/>
        </w:rPr>
        <w:t>个，三级指标</w:t>
      </w:r>
      <w:r>
        <w:rPr>
          <w:rFonts w:hint="eastAsia" w:hAnsi="仿宋_GB2312" w:cs="仿宋_GB2312"/>
          <w:b w:val="0"/>
          <w:color w:val="auto"/>
          <w:lang w:val="en-US" w:eastAsia="zh-CN"/>
        </w:rPr>
        <w:t>9</w:t>
      </w:r>
      <w:r>
        <w:rPr>
          <w:rFonts w:hint="eastAsia" w:hAnsi="仿宋_GB2312" w:cs="仿宋_GB2312"/>
          <w:b w:val="0"/>
          <w:color w:val="auto"/>
        </w:rPr>
        <w:t>个，其中已完成三级指标</w:t>
      </w:r>
      <w:r>
        <w:rPr>
          <w:rFonts w:hint="eastAsia" w:hAnsi="仿宋_GB2312" w:cs="仿宋_GB2312"/>
          <w:b w:val="0"/>
          <w:color w:val="auto"/>
          <w:lang w:val="en-US" w:eastAsia="zh-CN"/>
        </w:rPr>
        <w:t>9</w:t>
      </w:r>
      <w:r>
        <w:rPr>
          <w:rFonts w:hint="eastAsia" w:hAnsi="仿宋_GB2312" w:cs="仿宋_GB2312"/>
          <w:b w:val="0"/>
          <w:color w:val="auto"/>
        </w:rPr>
        <w:t>个，指标完成率为</w:t>
      </w:r>
      <w:r>
        <w:rPr>
          <w:rFonts w:hint="eastAsia" w:hAnsi="仿宋_GB2312" w:cs="仿宋_GB2312"/>
          <w:b w:val="0"/>
          <w:color w:val="auto"/>
          <w:lang w:val="en-US" w:eastAsia="zh-CN"/>
        </w:rPr>
        <w:t>100</w:t>
      </w:r>
      <w:r>
        <w:rPr>
          <w:rFonts w:hint="eastAsia" w:hAnsi="仿宋_GB2312" w:cs="仿宋_GB2312"/>
          <w:b w:val="0"/>
          <w:color w:val="auto"/>
        </w:rPr>
        <w:t>%，指标完成情况分析如下：</w:t>
      </w:r>
    </w:p>
    <w:p>
      <w:pPr>
        <w:pStyle w:val="49"/>
        <w:keepNext w:val="0"/>
        <w:keepLines w:val="0"/>
        <w:pageBreakBefore w:val="0"/>
        <w:widowControl w:val="0"/>
        <w:kinsoku/>
        <w:wordWrap/>
        <w:overflowPunct/>
        <w:topLinePunct w:val="0"/>
        <w:autoSpaceDE/>
        <w:autoSpaceDN/>
        <w:bidi w:val="0"/>
        <w:spacing w:line="560" w:lineRule="exact"/>
        <w:ind w:firstLine="643" w:firstLineChars="200"/>
        <w:textAlignment w:val="auto"/>
        <w:rPr>
          <w:rFonts w:hAnsi="仿宋_GB2312" w:cs="仿宋_GB2312"/>
          <w:bCs/>
          <w:color w:val="auto"/>
        </w:rPr>
      </w:pPr>
      <w:r>
        <w:rPr>
          <w:rFonts w:hint="eastAsia" w:hAnsi="仿宋_GB2312" w:cs="仿宋_GB2312"/>
          <w:bCs/>
          <w:color w:val="auto"/>
        </w:rPr>
        <w:t>1．产出指标完成情况分析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（1）数量指标完成情况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数量指标共计</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个，完成</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个，达到预期目标，数量指标完成。数量指标的完成确保了项目按照预期目标完成。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预期指标是</w:t>
      </w:r>
      <w:r>
        <w:rPr>
          <w:rFonts w:hint="eastAsia" w:ascii="仿宋_GB2312" w:hAnsi="仿宋" w:eastAsia="仿宋_GB2312" w:cs="宋体"/>
          <w:color w:val="auto"/>
          <w:sz w:val="32"/>
          <w:szCs w:val="32"/>
          <w:lang w:eastAsia="zh-CN"/>
        </w:rPr>
        <w:t>大于等于</w:t>
      </w: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color w:val="auto"/>
          <w:sz w:val="32"/>
          <w:szCs w:val="32"/>
        </w:rPr>
        <w:t>户，实际完成值是</w:t>
      </w: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color w:val="auto"/>
          <w:sz w:val="32"/>
          <w:szCs w:val="32"/>
        </w:rPr>
        <w:t>户，指标完成率是100%，达到预期目标。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（2）质量指标完成情况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ascii="仿宋_GB2312" w:hAnsi="仿宋" w:eastAsia="仿宋_GB2312" w:cs="宋体"/>
          <w:color w:val="auto"/>
          <w:sz w:val="32"/>
          <w:szCs w:val="32"/>
        </w:rPr>
        <w:t>质量指标共计</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个，完成</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个，达到预期目标</w:t>
      </w:r>
      <w:r>
        <w:rPr>
          <w:rFonts w:ascii="仿宋_GB2312" w:hAnsi="仿宋" w:eastAsia="仿宋_GB2312" w:cs="宋体"/>
          <w:color w:val="auto"/>
          <w:sz w:val="32"/>
          <w:szCs w:val="32"/>
        </w:rPr>
        <w:t>，</w:t>
      </w:r>
      <w:r>
        <w:rPr>
          <w:rFonts w:hint="eastAsia" w:ascii="仿宋_GB2312" w:hAnsi="仿宋" w:eastAsia="仿宋_GB2312" w:cs="宋体"/>
          <w:color w:val="auto"/>
          <w:sz w:val="32"/>
          <w:szCs w:val="32"/>
        </w:rPr>
        <w:t>质量指标完成。质量指标的完成确保了项目按照预期目标完成。</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项目验收合格率，预期指标是</w:t>
      </w:r>
      <w:r>
        <w:rPr>
          <w:rFonts w:hint="eastAsia" w:hAnsi="仿宋_GB2312" w:cs="仿宋_GB2312"/>
          <w:b w:val="0"/>
          <w:color w:val="auto"/>
          <w:lang w:eastAsia="zh-CN"/>
        </w:rPr>
        <w:t>等于</w:t>
      </w:r>
      <w:r>
        <w:rPr>
          <w:rFonts w:hint="eastAsia" w:hAnsi="仿宋_GB2312" w:cs="仿宋_GB2312"/>
          <w:b w:val="0"/>
          <w:color w:val="auto"/>
        </w:rPr>
        <w:t>100%，实际完成值是1</w:t>
      </w:r>
      <w:r>
        <w:rPr>
          <w:rFonts w:hint="eastAsia" w:hAnsi="仿宋_GB2312" w:cs="仿宋_GB2312"/>
          <w:b w:val="0"/>
          <w:color w:val="auto"/>
          <w:lang w:val="en-US" w:eastAsia="zh-CN"/>
        </w:rPr>
        <w:t>00%</w:t>
      </w:r>
      <w:r>
        <w:rPr>
          <w:rFonts w:hint="eastAsia" w:hAnsi="仿宋_GB2312" w:cs="仿宋_GB2312"/>
          <w:b w:val="0"/>
          <w:color w:val="auto"/>
        </w:rPr>
        <w:t>，指标完成率是100%，达到预期目标。</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hAnsi="仿宋_GB2312" w:cs="仿宋_GB2312"/>
          <w:b w:val="0"/>
          <w:color w:val="auto"/>
        </w:rPr>
        <w:t>（3）时效指标完成情况</w:t>
      </w:r>
      <w:r>
        <w:rPr>
          <w:rFonts w:hint="eastAsia" w:hAnsi="仿宋_GB2312" w:cs="仿宋_GB2312"/>
          <w:b w:val="0"/>
          <w:color w:val="auto"/>
        </w:rPr>
        <w:tab/>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时效指标共计</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个，完成</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个，达到预期目标</w:t>
      </w:r>
      <w:r>
        <w:rPr>
          <w:rFonts w:ascii="仿宋_GB2312" w:hAnsi="仿宋" w:eastAsia="仿宋_GB2312" w:cs="宋体"/>
          <w:color w:val="auto"/>
          <w:sz w:val="32"/>
          <w:szCs w:val="32"/>
        </w:rPr>
        <w:t>，</w:t>
      </w:r>
      <w:r>
        <w:rPr>
          <w:rFonts w:hint="eastAsia" w:ascii="仿宋_GB2312" w:hAnsi="仿宋" w:eastAsia="仿宋_GB2312" w:cs="宋体"/>
          <w:color w:val="auto"/>
          <w:sz w:val="32"/>
          <w:szCs w:val="32"/>
        </w:rPr>
        <w:t>时效指标完成。时效指标的完成确保了项目按照预期目标完成。</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hAnsi="仿宋" w:cs="宋体"/>
          <w:b w:val="0"/>
          <w:color w:val="auto"/>
        </w:rPr>
      </w:pPr>
      <w:r>
        <w:rPr>
          <w:rFonts w:hint="eastAsia" w:hAnsi="仿宋" w:cs="宋体"/>
          <w:b w:val="0"/>
          <w:color w:val="auto"/>
        </w:rPr>
        <w:t>项目开始时间，预期指标是2023年6月，实际完成值是2023年6月，指标完成率是100%，达到预期目标。</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hAnsi="仿宋" w:cs="宋体"/>
          <w:b w:val="0"/>
          <w:color w:val="auto"/>
        </w:rPr>
      </w:pPr>
      <w:r>
        <w:rPr>
          <w:rFonts w:hint="eastAsia" w:hAnsi="仿宋" w:cs="宋体"/>
          <w:b w:val="0"/>
          <w:color w:val="auto"/>
        </w:rPr>
        <w:t>项目完成时间，预期指标是2023年9月，实际完成值是2023年9月，指标完成率是100%，达到预期目标。</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 w:cs="宋体"/>
          <w:b w:val="0"/>
          <w:color w:val="auto"/>
        </w:rPr>
        <w:t>项目完工及时率，预期指标是</w:t>
      </w:r>
      <w:r>
        <w:rPr>
          <w:rFonts w:hint="eastAsia" w:hAnsi="仿宋" w:cs="宋体"/>
          <w:b w:val="0"/>
          <w:color w:val="auto"/>
          <w:lang w:val="en-US" w:eastAsia="zh-CN"/>
        </w:rPr>
        <w:t>等于</w:t>
      </w:r>
      <w:r>
        <w:rPr>
          <w:rFonts w:hint="eastAsia" w:hAnsi="仿宋" w:cs="宋体"/>
          <w:b w:val="0"/>
          <w:color w:val="auto"/>
        </w:rPr>
        <w:t>100%，实际完成值是100%，指标完成率是100%，达到预期目标。</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hAnsi="仿宋_GB2312" w:cs="仿宋_GB2312"/>
          <w:b w:val="0"/>
          <w:color w:val="auto"/>
        </w:rPr>
        <w:t>（4）成本指标完成情况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成本指标共计</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个，完成</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个，达到预期目标</w:t>
      </w:r>
      <w:r>
        <w:rPr>
          <w:rFonts w:ascii="仿宋_GB2312" w:hAnsi="仿宋" w:eastAsia="仿宋_GB2312" w:cs="宋体"/>
          <w:color w:val="auto"/>
          <w:sz w:val="32"/>
          <w:szCs w:val="32"/>
        </w:rPr>
        <w:t>，成本</w:t>
      </w:r>
      <w:r>
        <w:rPr>
          <w:rFonts w:hint="eastAsia" w:ascii="仿宋_GB2312" w:hAnsi="仿宋" w:eastAsia="仿宋_GB2312" w:cs="宋体"/>
          <w:color w:val="auto"/>
          <w:sz w:val="32"/>
          <w:szCs w:val="32"/>
        </w:rPr>
        <w:t>指标完成。成本指标的完成确保了项目按照预期目标完成。</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 w:cs="宋体"/>
          <w:b w:val="0"/>
          <w:color w:val="auto"/>
        </w:rPr>
        <w:t>预期指标是</w:t>
      </w:r>
      <w:r>
        <w:rPr>
          <w:rFonts w:hint="eastAsia" w:hAnsi="仿宋" w:cs="宋体"/>
          <w:b w:val="0"/>
          <w:color w:val="auto"/>
          <w:lang w:eastAsia="zh-CN"/>
        </w:rPr>
        <w:t>小于等于</w:t>
      </w:r>
      <w:r>
        <w:rPr>
          <w:rFonts w:hint="eastAsia" w:hAnsi="仿宋" w:cs="宋体"/>
          <w:b w:val="0"/>
          <w:color w:val="auto"/>
          <w:lang w:val="en-US" w:eastAsia="zh-CN"/>
        </w:rPr>
        <w:t xml:space="preserve">  </w:t>
      </w:r>
      <w:r>
        <w:rPr>
          <w:rFonts w:hint="eastAsia" w:hAnsi="仿宋" w:cs="宋体"/>
          <w:b w:val="0"/>
          <w:color w:val="auto"/>
        </w:rPr>
        <w:t>元/户，实际完成值是</w:t>
      </w:r>
      <w:r>
        <w:rPr>
          <w:rFonts w:hint="eastAsia" w:hAnsi="仿宋" w:cs="宋体"/>
          <w:b w:val="0"/>
          <w:color w:val="auto"/>
          <w:lang w:val="en-US" w:eastAsia="zh-CN"/>
        </w:rPr>
        <w:t xml:space="preserve">  </w:t>
      </w:r>
      <w:r>
        <w:rPr>
          <w:rFonts w:hint="eastAsia" w:hAnsi="仿宋" w:cs="宋体"/>
          <w:b w:val="0"/>
          <w:color w:val="auto"/>
        </w:rPr>
        <w:t>元/户，指标完成率是100%，达到预期目标。</w:t>
      </w:r>
    </w:p>
    <w:p>
      <w:pPr>
        <w:pStyle w:val="49"/>
        <w:keepNext w:val="0"/>
        <w:keepLines w:val="0"/>
        <w:pageBreakBefore w:val="0"/>
        <w:widowControl w:val="0"/>
        <w:kinsoku/>
        <w:wordWrap/>
        <w:overflowPunct/>
        <w:topLinePunct w:val="0"/>
        <w:autoSpaceDE/>
        <w:autoSpaceDN/>
        <w:bidi w:val="0"/>
        <w:spacing w:line="560" w:lineRule="exact"/>
        <w:ind w:firstLine="643" w:firstLineChars="200"/>
        <w:textAlignment w:val="auto"/>
        <w:rPr>
          <w:rFonts w:hAnsi="仿宋_GB2312" w:cs="仿宋_GB2312"/>
          <w:b w:val="0"/>
          <w:color w:val="auto"/>
        </w:rPr>
      </w:pPr>
      <w:r>
        <w:rPr>
          <w:rFonts w:hint="eastAsia" w:hAnsi="仿宋_GB2312" w:cs="仿宋_GB2312"/>
          <w:bCs/>
          <w:color w:val="auto"/>
        </w:rPr>
        <w:t>2．效益指标完成情况分析</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（1）项目实施的经济效益分析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无。</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hAnsi="仿宋_GB2312" w:cs="仿宋_GB2312"/>
          <w:b w:val="0"/>
          <w:color w:val="auto"/>
        </w:rPr>
        <w:t>（2）项目实施的社会效益分析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社会效益指标共计</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个，完成</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个，达到预期目标，社会效益指标完成。社会效益指标的完成确保了项目按照预期目标完成。</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b w:val="0"/>
          <w:color w:val="auto"/>
          <w:kern w:val="2"/>
          <w:sz w:val="32"/>
          <w:szCs w:val="32"/>
          <w:lang w:val="en-US" w:eastAsia="zh-CN" w:bidi="ar-SA"/>
        </w:rPr>
      </w:pPr>
      <w:r>
        <w:rPr>
          <w:rFonts w:hint="eastAsia" w:ascii="仿宋_GB2312" w:hAnsi="仿宋" w:eastAsia="仿宋_GB2312" w:cs="宋体"/>
          <w:b w:val="0"/>
          <w:color w:val="auto"/>
          <w:kern w:val="2"/>
          <w:sz w:val="32"/>
          <w:szCs w:val="32"/>
          <w:lang w:val="en-US" w:eastAsia="zh-CN" w:bidi="ar-SA"/>
        </w:rPr>
        <w:t>受益群众人口数，预期指标是</w:t>
      </w:r>
      <w:r>
        <w:rPr>
          <w:rFonts w:hint="eastAsia" w:hAnsi="仿宋" w:cs="宋体"/>
          <w:b w:val="0"/>
          <w:color w:val="auto"/>
          <w:kern w:val="2"/>
          <w:sz w:val="32"/>
          <w:szCs w:val="32"/>
          <w:lang w:val="en-US" w:eastAsia="zh-CN" w:bidi="ar-SA"/>
        </w:rPr>
        <w:t xml:space="preserve">大于等于  </w:t>
      </w:r>
      <w:r>
        <w:rPr>
          <w:rFonts w:hint="eastAsia" w:ascii="仿宋_GB2312" w:hAnsi="仿宋" w:eastAsia="仿宋_GB2312" w:cs="宋体"/>
          <w:b w:val="0"/>
          <w:color w:val="auto"/>
          <w:kern w:val="2"/>
          <w:sz w:val="32"/>
          <w:szCs w:val="32"/>
          <w:lang w:val="en-US" w:eastAsia="zh-CN" w:bidi="ar-SA"/>
        </w:rPr>
        <w:t>人，实际完成值是</w:t>
      </w:r>
      <w:r>
        <w:rPr>
          <w:rFonts w:hint="eastAsia" w:hAnsi="仿宋" w:cs="宋体"/>
          <w:b w:val="0"/>
          <w:color w:val="auto"/>
          <w:kern w:val="2"/>
          <w:sz w:val="32"/>
          <w:szCs w:val="32"/>
          <w:lang w:val="en-US" w:eastAsia="zh-CN" w:bidi="ar-SA"/>
        </w:rPr>
        <w:t xml:space="preserve">  </w:t>
      </w:r>
      <w:r>
        <w:rPr>
          <w:rFonts w:hint="eastAsia" w:ascii="仿宋_GB2312" w:hAnsi="仿宋" w:eastAsia="仿宋_GB2312" w:cs="宋体"/>
          <w:b w:val="0"/>
          <w:color w:val="auto"/>
          <w:kern w:val="2"/>
          <w:sz w:val="32"/>
          <w:szCs w:val="32"/>
          <w:lang w:val="en-US" w:eastAsia="zh-CN" w:bidi="ar-SA"/>
        </w:rPr>
        <w:t>人，指标完成率是100%，达到预期目标。</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（3）项目实施的生态效益分析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无。</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hAnsi="仿宋_GB2312" w:cs="仿宋_GB2312"/>
          <w:b w:val="0"/>
          <w:color w:val="auto"/>
        </w:rPr>
        <w:t>（4）项目实施的可持续影响分析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可持续影响指标共计</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个，完成</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个，达到预期目标，可持续影响指标完成。可持续影响指标的完成确保了项目按照预期目标完成。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预期指标是长期，实际完成值是长期，指标完成率是100%，达到预期目标。</w:t>
      </w:r>
    </w:p>
    <w:p>
      <w:pPr>
        <w:pStyle w:val="49"/>
        <w:keepNext w:val="0"/>
        <w:keepLines w:val="0"/>
        <w:pageBreakBefore w:val="0"/>
        <w:widowControl w:val="0"/>
        <w:kinsoku/>
        <w:wordWrap/>
        <w:overflowPunct/>
        <w:topLinePunct w:val="0"/>
        <w:autoSpaceDE/>
        <w:autoSpaceDN/>
        <w:bidi w:val="0"/>
        <w:spacing w:line="560" w:lineRule="exact"/>
        <w:ind w:firstLine="643" w:firstLineChars="200"/>
        <w:textAlignment w:val="auto"/>
        <w:rPr>
          <w:rFonts w:hAnsi="仿宋_GB2312" w:cs="仿宋_GB2312"/>
          <w:b w:val="0"/>
          <w:color w:val="auto"/>
        </w:rPr>
      </w:pPr>
      <w:r>
        <w:rPr>
          <w:rFonts w:hint="eastAsia" w:hAnsi="仿宋_GB2312" w:cs="仿宋_GB2312"/>
          <w:bCs/>
          <w:color w:val="auto"/>
        </w:rPr>
        <w:t>3．满意度指标完成情况分析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满意度指标共计</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个，完成</w:t>
      </w:r>
      <w:r>
        <w:rPr>
          <w:rFonts w:hint="eastAsia" w:ascii="仿宋_GB2312" w:hAnsi="仿宋" w:eastAsia="仿宋_GB2312" w:cs="宋体"/>
          <w:color w:val="auto"/>
          <w:sz w:val="32"/>
          <w:szCs w:val="32"/>
          <w:lang w:val="en-US" w:eastAsia="zh-CN"/>
        </w:rPr>
        <w:t>1</w:t>
      </w:r>
      <w:r>
        <w:rPr>
          <w:rFonts w:hint="eastAsia" w:ascii="仿宋_GB2312" w:hAnsi="仿宋" w:eastAsia="仿宋_GB2312" w:cs="宋体"/>
          <w:color w:val="auto"/>
          <w:sz w:val="32"/>
          <w:szCs w:val="32"/>
        </w:rPr>
        <w:t>个，达到预期目标，满意度指标完成</w:t>
      </w:r>
      <w:r>
        <w:rPr>
          <w:rFonts w:hint="eastAsia" w:ascii="仿宋_GB2312" w:hAnsi="仿宋" w:eastAsia="仿宋_GB2312" w:cs="宋体"/>
          <w:color w:val="auto"/>
          <w:sz w:val="32"/>
          <w:szCs w:val="32"/>
          <w:lang w:val="en-US" w:eastAsia="zh-CN"/>
        </w:rPr>
        <w:t>。</w:t>
      </w:r>
      <w:r>
        <w:rPr>
          <w:rFonts w:hint="eastAsia" w:ascii="仿宋_GB2312" w:hAnsi="仿宋" w:eastAsia="仿宋_GB2312" w:cs="宋体"/>
          <w:color w:val="auto"/>
          <w:sz w:val="32"/>
          <w:szCs w:val="32"/>
        </w:rPr>
        <w:t>满意度指标的完成确保了项目按照预期目标完成。</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b w:val="0"/>
          <w:color w:val="auto"/>
          <w:kern w:val="2"/>
          <w:sz w:val="32"/>
          <w:szCs w:val="32"/>
          <w:lang w:val="en-US" w:eastAsia="zh-CN" w:bidi="ar-SA"/>
        </w:rPr>
      </w:pPr>
      <w:r>
        <w:rPr>
          <w:rFonts w:hint="eastAsia" w:ascii="仿宋_GB2312" w:hAnsi="仿宋" w:eastAsia="仿宋_GB2312" w:cs="宋体"/>
          <w:b w:val="0"/>
          <w:color w:val="auto"/>
          <w:kern w:val="2"/>
          <w:sz w:val="32"/>
          <w:szCs w:val="32"/>
          <w:lang w:val="en-US" w:eastAsia="zh-CN" w:bidi="ar-SA"/>
        </w:rPr>
        <w:t>受益群众满意度，预期指标是</w:t>
      </w:r>
      <w:r>
        <w:rPr>
          <w:rFonts w:hint="eastAsia" w:hAnsi="仿宋" w:cs="宋体"/>
          <w:b w:val="0"/>
          <w:color w:val="auto"/>
          <w:kern w:val="2"/>
          <w:sz w:val="32"/>
          <w:szCs w:val="32"/>
          <w:lang w:val="en-US" w:eastAsia="zh-CN" w:bidi="ar-SA"/>
        </w:rPr>
        <w:t>大于等于</w:t>
      </w:r>
      <w:r>
        <w:rPr>
          <w:rFonts w:hint="eastAsia" w:ascii="仿宋_GB2312" w:hAnsi="仿宋" w:eastAsia="仿宋_GB2312" w:cs="宋体"/>
          <w:b w:val="0"/>
          <w:color w:val="auto"/>
          <w:kern w:val="2"/>
          <w:sz w:val="32"/>
          <w:szCs w:val="32"/>
          <w:lang w:val="en-US" w:eastAsia="zh-CN" w:bidi="ar-SA"/>
        </w:rPr>
        <w:t>95%，实际完成值是95</w:t>
      </w:r>
      <w:r>
        <w:rPr>
          <w:rFonts w:hint="eastAsia" w:hAnsi="仿宋" w:cs="宋体"/>
          <w:b w:val="0"/>
          <w:color w:val="auto"/>
          <w:kern w:val="2"/>
          <w:sz w:val="32"/>
          <w:szCs w:val="32"/>
          <w:lang w:val="en-US" w:eastAsia="zh-CN" w:bidi="ar-SA"/>
        </w:rPr>
        <w:t>%</w:t>
      </w:r>
      <w:r>
        <w:rPr>
          <w:rFonts w:hint="eastAsia" w:ascii="仿宋_GB2312" w:hAnsi="仿宋" w:eastAsia="仿宋_GB2312" w:cs="宋体"/>
          <w:b w:val="0"/>
          <w:color w:val="auto"/>
          <w:kern w:val="2"/>
          <w:sz w:val="32"/>
          <w:szCs w:val="32"/>
          <w:lang w:val="en-US" w:eastAsia="zh-CN" w:bidi="ar-SA"/>
        </w:rPr>
        <w:t>，指标完成率是100%，达到预期目标。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五、项目绩效目标未完成原因及下一步改进措施</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仿宋_GB2312" w:hAnsi="仿宋" w:eastAsia="仿宋_GB2312" w:cs="宋体"/>
          <w:b/>
          <w:bCs/>
          <w:color w:val="auto"/>
          <w:sz w:val="32"/>
          <w:szCs w:val="32"/>
        </w:rPr>
      </w:pPr>
      <w:r>
        <w:rPr>
          <w:rFonts w:hint="eastAsia" w:ascii="楷体" w:hAnsi="楷体" w:eastAsia="楷体" w:cs="楷体"/>
          <w:b/>
          <w:bCs/>
          <w:color w:val="auto"/>
          <w:sz w:val="32"/>
          <w:szCs w:val="32"/>
        </w:rPr>
        <w:t>（一）偏离绩效目标原因</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color w:val="auto"/>
          <w:sz w:val="32"/>
          <w:szCs w:val="32"/>
        </w:rPr>
      </w:pPr>
      <w:r>
        <w:rPr>
          <w:rFonts w:hint="eastAsia" w:ascii="仿宋_GB2312" w:hAnsi="仿宋" w:eastAsia="仿宋_GB2312" w:cs="宋体"/>
          <w:color w:val="auto"/>
          <w:sz w:val="32"/>
          <w:szCs w:val="32"/>
        </w:rPr>
        <w:t>项目绩效目标无偏离</w:t>
      </w:r>
      <w:r>
        <w:rPr>
          <w:rFonts w:hint="eastAsia" w:ascii="仿宋_GB2312" w:hAnsi="仿宋" w:eastAsia="仿宋_GB2312" w:cs="宋体"/>
          <w:color w:val="auto"/>
          <w:sz w:val="32"/>
          <w:szCs w:val="32"/>
          <w:lang w:val="en-US" w:eastAsia="zh-CN"/>
        </w:rPr>
        <w:t>,达成预期目标</w:t>
      </w:r>
      <w:r>
        <w:rPr>
          <w:rFonts w:hint="eastAsia" w:ascii="仿宋_GB2312" w:hAnsi="仿宋" w:eastAsia="仿宋_GB2312" w:cs="宋体"/>
          <w:color w:val="auto"/>
          <w:sz w:val="32"/>
          <w:szCs w:val="32"/>
        </w:rPr>
        <w:t>。</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 w:hAnsi="楷体" w:eastAsia="楷体" w:cs="楷体"/>
          <w:b/>
          <w:bCs/>
          <w:color w:val="auto"/>
          <w:sz w:val="32"/>
          <w:szCs w:val="32"/>
        </w:rPr>
      </w:pPr>
      <w:r>
        <w:rPr>
          <w:rFonts w:hint="eastAsia" w:ascii="楷体" w:hAnsi="楷体" w:eastAsia="楷体" w:cs="楷体"/>
          <w:b/>
          <w:bCs/>
          <w:color w:val="auto"/>
          <w:sz w:val="32"/>
          <w:szCs w:val="32"/>
        </w:rPr>
        <w:t>（二）下一步改进措施</w:t>
      </w:r>
    </w:p>
    <w:p>
      <w:pPr>
        <w:pStyle w:val="49"/>
        <w:keepNext w:val="0"/>
        <w:keepLines w:val="0"/>
        <w:pageBreakBefore w:val="0"/>
        <w:widowControl w:val="0"/>
        <w:kinsoku/>
        <w:wordWrap/>
        <w:overflowPunct/>
        <w:topLinePunct w:val="0"/>
        <w:autoSpaceDE/>
        <w:autoSpaceDN/>
        <w:bidi w:val="0"/>
        <w:spacing w:line="560" w:lineRule="exact"/>
        <w:ind w:firstLine="624" w:firstLineChars="200"/>
        <w:textAlignment w:val="auto"/>
        <w:rPr>
          <w:rFonts w:hAnsi="仿宋"/>
          <w:b w:val="0"/>
          <w:bCs/>
          <w:color w:val="auto"/>
          <w:spacing w:val="-4"/>
        </w:rPr>
      </w:pPr>
      <w:r>
        <w:rPr>
          <w:rFonts w:hint="eastAsia" w:hAnsi="仿宋"/>
          <w:b w:val="0"/>
          <w:bCs/>
          <w:color w:val="auto"/>
          <w:spacing w:val="-4"/>
        </w:rPr>
        <w:t>今后加强资金申请，及时编写实施方案，并对各项指标和指标值的设定要进一步优化、完善。严格执行专项资金管理办法和财政资金管理制度，按照项目实施方案、项目进度表严格执行，稳步推进，加快项目实施、验收和移交，使项目尽快投入运行。加强后续的管理工作，按照项目的可持续性，最大限度发挥项目的效益。</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六、综合评价结论</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lang w:val="en-US" w:eastAsia="zh-CN"/>
        </w:rPr>
        <w:t>克州</w:t>
      </w:r>
      <w:r>
        <w:rPr>
          <w:rFonts w:hint="eastAsia" w:hAnsi="仿宋_GB2312" w:cs="仿宋_GB2312"/>
          <w:b w:val="0"/>
          <w:color w:val="auto"/>
        </w:rPr>
        <w:t>阿图什市茶项目已实施完毕，经综合评价</w:t>
      </w:r>
      <w:r>
        <w:rPr>
          <w:rFonts w:hAnsi="仿宋_GB2312" w:cs="仿宋_GB2312"/>
          <w:b w:val="0"/>
          <w:color w:val="auto"/>
        </w:rPr>
        <w:t>，</w:t>
      </w:r>
      <w:r>
        <w:rPr>
          <w:rFonts w:hint="eastAsia" w:hAnsi="仿宋_GB2312" w:cs="仿宋_GB2312"/>
          <w:b w:val="0"/>
          <w:color w:val="auto"/>
        </w:rPr>
        <w:t>得分</w:t>
      </w:r>
      <w:r>
        <w:rPr>
          <w:rFonts w:hint="eastAsia" w:hAnsi="仿宋_GB2312" w:cs="仿宋_GB2312"/>
          <w:b w:val="0"/>
          <w:color w:val="auto"/>
          <w:lang w:val="en-US" w:eastAsia="zh-CN"/>
        </w:rPr>
        <w:t>100</w:t>
      </w:r>
      <w:r>
        <w:rPr>
          <w:rFonts w:hint="eastAsia" w:hAnsi="仿宋_GB2312" w:cs="仿宋_GB2312"/>
          <w:b w:val="0"/>
          <w:color w:val="auto"/>
        </w:rPr>
        <w:t>分。</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项目总投资</w:t>
      </w:r>
      <w:r>
        <w:rPr>
          <w:rFonts w:hint="eastAsia" w:hAnsi="仿宋_GB2312" w:cs="仿宋_GB2312"/>
          <w:b w:val="0"/>
          <w:color w:val="auto"/>
          <w:lang w:val="en-US" w:eastAsia="zh-CN"/>
        </w:rPr>
        <w:t>15</w:t>
      </w:r>
      <w:r>
        <w:rPr>
          <w:rFonts w:hint="eastAsia" w:hAnsi="仿宋_GB2312" w:cs="仿宋_GB2312"/>
          <w:b w:val="0"/>
          <w:color w:val="auto"/>
        </w:rPr>
        <w:t>万元，共支付资金</w:t>
      </w:r>
      <w:r>
        <w:rPr>
          <w:rFonts w:hint="eastAsia" w:hAnsi="仿宋_GB2312" w:cs="仿宋_GB2312"/>
          <w:b w:val="0"/>
          <w:color w:val="auto"/>
          <w:lang w:val="en-US" w:eastAsia="zh-CN"/>
        </w:rPr>
        <w:t>15</w:t>
      </w:r>
      <w:r>
        <w:rPr>
          <w:rFonts w:hint="eastAsia" w:hAnsi="仿宋_GB2312" w:cs="仿宋_GB2312"/>
          <w:b w:val="0"/>
          <w:color w:val="auto"/>
        </w:rPr>
        <w:t>万元。完成建设内容如下：</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lang w:val="en-US" w:eastAsia="zh-CN"/>
        </w:rPr>
        <w:t>本项目</w:t>
      </w:r>
      <w:r>
        <w:rPr>
          <w:rFonts w:hint="eastAsia" w:hAnsi="仿宋_GB2312" w:cs="仿宋_GB2312"/>
          <w:b w:val="0"/>
          <w:color w:val="auto"/>
        </w:rPr>
        <w:t>已完成</w:t>
      </w:r>
      <w:r>
        <w:rPr>
          <w:rFonts w:hint="eastAsia" w:hAnsi="仿宋_GB2312" w:cs="仿宋_GB2312"/>
          <w:b w:val="0"/>
          <w:color w:val="auto"/>
          <w:lang w:eastAsia="zh-CN"/>
        </w:rPr>
        <w:t>，</w:t>
      </w:r>
      <w:r>
        <w:rPr>
          <w:rFonts w:hint="eastAsia" w:hAnsi="仿宋_GB2312" w:cs="仿宋_GB2312"/>
          <w:b w:val="0"/>
          <w:color w:val="auto"/>
        </w:rPr>
        <w:t>项目的实施，提升了群众的幸福感、获得感、安全感，扎实推进乡村振兴战略的实施。</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七、绩效自评结果应用和公开情况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结果应用：将自评结果报送</w:t>
      </w:r>
      <w:r>
        <w:rPr>
          <w:rFonts w:hint="eastAsia" w:ascii="仿宋_GB2312" w:hAnsi="仿宋_GB2312" w:eastAsia="仿宋_GB2312" w:cs="仿宋_GB2312"/>
          <w:color w:val="auto"/>
          <w:sz w:val="32"/>
          <w:szCs w:val="32"/>
          <w:lang w:val="en-US" w:eastAsia="zh-CN"/>
        </w:rPr>
        <w:t>阿图什市</w:t>
      </w:r>
      <w:r>
        <w:rPr>
          <w:rFonts w:hint="eastAsia" w:ascii="仿宋_GB2312" w:hAnsi="仿宋_GB2312" w:eastAsia="仿宋_GB2312" w:cs="仿宋_GB2312"/>
          <w:color w:val="auto"/>
          <w:sz w:val="32"/>
          <w:szCs w:val="32"/>
        </w:rPr>
        <w:t>财政局及</w:t>
      </w:r>
      <w:r>
        <w:rPr>
          <w:rFonts w:hint="eastAsia" w:ascii="仿宋_GB2312" w:hAnsi="仿宋_GB2312" w:eastAsia="仿宋_GB2312" w:cs="仿宋_GB2312"/>
          <w:color w:val="auto"/>
          <w:sz w:val="32"/>
          <w:szCs w:val="32"/>
          <w:lang w:val="en-US" w:eastAsia="zh-CN"/>
        </w:rPr>
        <w:t>克州</w:t>
      </w:r>
      <w:r>
        <w:rPr>
          <w:rFonts w:hint="eastAsia" w:ascii="仿宋_GB2312" w:hAnsi="仿宋_GB2312" w:eastAsia="仿宋_GB2312" w:cs="仿宋_GB2312"/>
          <w:color w:val="auto"/>
          <w:sz w:val="32"/>
          <w:szCs w:val="32"/>
        </w:rPr>
        <w:t>财政局，根据绩效自评结果作为下一年度资金安排参考。在次年对该项工作提出整改措施，并落实到位。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b w:val="0"/>
          <w:color w:val="auto"/>
        </w:rPr>
      </w:pPr>
      <w:r>
        <w:rPr>
          <w:rFonts w:hint="eastAsia" w:ascii="黑体" w:hAnsi="黑体" w:eastAsia="黑体"/>
          <w:b w:val="0"/>
          <w:color w:val="auto"/>
        </w:rPr>
        <w:t>八、绩效自评工作的经验、问题和建议</w:t>
      </w:r>
    </w:p>
    <w:p>
      <w:pPr>
        <w:pStyle w:val="49"/>
        <w:keepNext w:val="0"/>
        <w:keepLines w:val="0"/>
        <w:pageBreakBefore w:val="0"/>
        <w:widowControl w:val="0"/>
        <w:kinsoku/>
        <w:wordWrap/>
        <w:overflowPunct/>
        <w:topLinePunct w:val="0"/>
        <w:autoSpaceDE/>
        <w:autoSpaceDN/>
        <w:bidi w:val="0"/>
        <w:spacing w:line="560" w:lineRule="exact"/>
        <w:ind w:firstLine="643" w:firstLineChars="200"/>
        <w:textAlignment w:val="auto"/>
        <w:rPr>
          <w:rFonts w:hAnsi="仿宋_GB2312" w:cs="仿宋_GB2312"/>
          <w:bCs/>
          <w:color w:val="auto"/>
        </w:rPr>
      </w:pPr>
      <w:r>
        <w:rPr>
          <w:rFonts w:hint="eastAsia" w:ascii="楷体" w:hAnsi="楷体" w:eastAsia="楷体" w:cs="楷体"/>
          <w:bCs/>
          <w:color w:val="auto"/>
        </w:rPr>
        <w:t>（一）主要经验及做法</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茶项目资金的使用按照政策标准，专款专用，张榜公示，做到政务公开，项目资金工作置于民众的监督之下，执行“阳光操作、阳光惠民”，保证各项工作公开透明。</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认真做好项目前期工作。在项目择优上，选择关系到脱贫群众生产生活，真正能够起到典型示范劳动作用的重要项目。在严把投资关上，严格执行项目和预算的</w:t>
      </w:r>
      <w:r>
        <w:rPr>
          <w:rFonts w:ascii="仿宋_GB2312" w:hAnsi="仿宋_GB2312" w:eastAsia="仿宋_GB2312" w:cs="仿宋_GB2312"/>
          <w:color w:val="auto"/>
          <w:sz w:val="32"/>
          <w:szCs w:val="32"/>
        </w:rPr>
        <w:t>审</w:t>
      </w:r>
      <w:r>
        <w:rPr>
          <w:rFonts w:hint="eastAsia" w:ascii="仿宋_GB2312" w:hAnsi="仿宋_GB2312" w:eastAsia="仿宋_GB2312" w:cs="仿宋_GB2312"/>
          <w:color w:val="auto"/>
          <w:sz w:val="32"/>
          <w:szCs w:val="32"/>
        </w:rPr>
        <w:t>核及审批制度，达到了优化方案，节约投资，效益最大化的目的。</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严格执行国家基本建设程序。在实施</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过程中，我们按照基本程序，实行项目法人责任制，合同制的“四制”规范化管理，对项目组织检查验收等环节层层把好关口。</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加强制度建设。完善相关管理机制，全面实施公示公告制度、资金报账制度</w:t>
      </w:r>
      <w:r>
        <w:rPr>
          <w:rFonts w:hint="eastAsia" w:hAnsi="仿宋_GB2312" w:cs="仿宋_GB2312"/>
          <w:b w:val="0"/>
          <w:color w:val="auto"/>
          <w:lang w:eastAsia="zh-CN"/>
        </w:rPr>
        <w:t>，</w:t>
      </w:r>
      <w:r>
        <w:rPr>
          <w:rFonts w:hint="eastAsia" w:hAnsi="仿宋_GB2312" w:cs="仿宋_GB2312"/>
          <w:b w:val="0"/>
          <w:color w:val="auto"/>
        </w:rPr>
        <w:t>监督检查制度、项目考评制度、项目后期管理制度等，强化了项目事前、事中、事后的管理。确保了项目效益。</w:t>
      </w:r>
    </w:p>
    <w:p>
      <w:pPr>
        <w:pStyle w:val="49"/>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 w:hAnsi="楷体" w:eastAsia="楷体" w:cs="楷体"/>
          <w:bCs/>
          <w:color w:val="auto"/>
        </w:rPr>
      </w:pPr>
      <w:r>
        <w:rPr>
          <w:rFonts w:hint="eastAsia" w:ascii="楷体" w:hAnsi="楷体" w:eastAsia="楷体" w:cs="楷体"/>
          <w:bCs/>
          <w:color w:val="auto"/>
        </w:rPr>
        <w:t>（二）存在的问题</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hAnsi="仿宋_GB2312" w:cs="仿宋_GB2312"/>
          <w:b w:val="0"/>
          <w:color w:val="auto"/>
          <w:lang w:eastAsia="zh-CN"/>
        </w:rPr>
      </w:pPr>
      <w:r>
        <w:rPr>
          <w:rFonts w:hint="eastAsia" w:hAnsi="仿宋_GB2312" w:cs="仿宋_GB2312"/>
          <w:b w:val="0"/>
          <w:color w:val="auto"/>
          <w:lang w:val="en-US" w:eastAsia="zh-CN"/>
        </w:rPr>
        <w:t>无。</w:t>
      </w:r>
    </w:p>
    <w:p>
      <w:pPr>
        <w:pStyle w:val="49"/>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 w:hAnsi="楷体" w:eastAsia="楷体" w:cs="楷体"/>
          <w:bCs/>
          <w:color w:val="auto"/>
        </w:rPr>
      </w:pPr>
      <w:r>
        <w:rPr>
          <w:rFonts w:hint="eastAsia" w:ascii="楷体" w:hAnsi="楷体" w:eastAsia="楷体" w:cs="楷体"/>
          <w:bCs/>
          <w:color w:val="auto"/>
        </w:rPr>
        <w:t>（三）建议</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细化预算编制工作，认真做好预算的编制。全面编制预算项目，优先保障固定性的、相对刚性的费用支出项目，尽量压缩变动性的、有控制空间的费用项目，进一步提高预算编制的科学性、严谨性和可控性。</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开展进度的跟踪，确保项目绩效目标的完成。规范程序，严格把关。进一步完善项目申报、审核、公示、审批等程序，严格审核切实做好项目信息公开，公开内容要及时、完整、真实，确保项目公平、公开、公正。</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健全制度，加强督促。针对项目实施中存在的问题，进一步完善相关制度，加强督促检查，确保质量安全和建设进度；同时及时完善资料，妥善保管档案。</w:t>
      </w:r>
    </w:p>
    <w:p>
      <w:pPr>
        <w:pStyle w:val="4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Ansi="仿宋_GB2312" w:cs="仿宋_GB2312"/>
          <w:b w:val="0"/>
          <w:color w:val="auto"/>
        </w:rPr>
      </w:pPr>
      <w:r>
        <w:rPr>
          <w:rFonts w:hint="eastAsia" w:hAnsi="仿宋_GB2312" w:cs="仿宋_GB2312"/>
          <w:b w:val="0"/>
          <w:color w:val="auto"/>
        </w:rPr>
        <w:t>为确保项目实施符合预期要求，建议今后类似的项目实施中，按照项目总体要求，分解细化各项任务目标，责任落实到人。按照集中攻坚与分类指导相结合、项目质量与工作进度并重的原则，实行人力、物力、财力“三集中”，科学安排、叠加推进，统筹加快工作节奏，确保项目能够及时发挥应有的效益和效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21"/>
          <w:rFonts w:ascii="黑体" w:hAnsi="黑体" w:eastAsia="黑体"/>
          <w:b w:val="0"/>
          <w:bCs w:val="0"/>
          <w:color w:val="auto"/>
          <w:spacing w:val="-4"/>
          <w:sz w:val="32"/>
          <w:szCs w:val="32"/>
        </w:rPr>
      </w:pPr>
      <w:r>
        <w:rPr>
          <w:rFonts w:hint="eastAsia" w:ascii="黑体" w:hAnsi="黑体" w:eastAsia="黑体" w:cs="黑体"/>
          <w:color w:val="auto"/>
          <w:sz w:val="32"/>
          <w:szCs w:val="32"/>
        </w:rPr>
        <w:t>九、附表</w:t>
      </w:r>
    </w:p>
    <w:p>
      <w:pPr>
        <w:keepNext w:val="0"/>
        <w:keepLines w:val="0"/>
        <w:pageBreakBefore w:val="0"/>
        <w:widowControl w:val="0"/>
        <w:kinsoku/>
        <w:wordWrap/>
        <w:overflowPunct/>
        <w:topLinePunct w:val="0"/>
        <w:autoSpaceDE/>
        <w:autoSpaceDN/>
        <w:bidi w:val="0"/>
        <w:spacing w:line="560" w:lineRule="exact"/>
        <w:ind w:firstLine="624" w:firstLineChars="200"/>
        <w:textAlignment w:val="auto"/>
        <w:rPr>
          <w:rStyle w:val="21"/>
          <w:rFonts w:ascii="仿宋" w:hAnsi="仿宋" w:eastAsia="仿宋"/>
          <w:b w:val="0"/>
          <w:color w:val="auto"/>
          <w:spacing w:val="-4"/>
          <w:sz w:val="32"/>
          <w:szCs w:val="32"/>
        </w:rPr>
      </w:pPr>
      <w:r>
        <w:rPr>
          <w:rFonts w:hint="eastAsia" w:ascii="仿宋_GB2312" w:hAnsi="仿宋" w:eastAsia="仿宋_GB2312" w:cs="仿宋"/>
          <w:color w:val="auto"/>
          <w:spacing w:val="-4"/>
          <w:sz w:val="32"/>
          <w:szCs w:val="32"/>
        </w:rPr>
        <w:t>《绩效目标自评表》</w:t>
      </w:r>
    </w:p>
    <w:sectPr>
      <w:footerReference r:id="rId3"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15</w:t>
        </w:r>
        <w:r>
          <w:fldChar w:fldCharType="end"/>
        </w:r>
      </w:p>
    </w:sdtContent>
  </w:sdt>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ZkNzQ4ZWFiZmQ4NTRhOWRkZTk3YTMwMjlmMmZhYmUifQ=="/>
  </w:docVars>
  <w:rsids>
    <w:rsidRoot w:val="00CA6457"/>
    <w:rsid w:val="00014CAB"/>
    <w:rsid w:val="00052A0B"/>
    <w:rsid w:val="00056465"/>
    <w:rsid w:val="000A396F"/>
    <w:rsid w:val="00121AE4"/>
    <w:rsid w:val="00135D68"/>
    <w:rsid w:val="00136BCC"/>
    <w:rsid w:val="00141917"/>
    <w:rsid w:val="00146AAD"/>
    <w:rsid w:val="001B23F1"/>
    <w:rsid w:val="001B263E"/>
    <w:rsid w:val="001B3A40"/>
    <w:rsid w:val="001D2659"/>
    <w:rsid w:val="001D293E"/>
    <w:rsid w:val="00207524"/>
    <w:rsid w:val="00207D50"/>
    <w:rsid w:val="00220617"/>
    <w:rsid w:val="002D4C9F"/>
    <w:rsid w:val="00311626"/>
    <w:rsid w:val="00321CBD"/>
    <w:rsid w:val="003227EC"/>
    <w:rsid w:val="003416AE"/>
    <w:rsid w:val="00347D87"/>
    <w:rsid w:val="003C2CF9"/>
    <w:rsid w:val="003C7224"/>
    <w:rsid w:val="00427AE3"/>
    <w:rsid w:val="004366A8"/>
    <w:rsid w:val="004820B6"/>
    <w:rsid w:val="004F650B"/>
    <w:rsid w:val="00502BA7"/>
    <w:rsid w:val="005162F1"/>
    <w:rsid w:val="00535153"/>
    <w:rsid w:val="00554F82"/>
    <w:rsid w:val="0056390D"/>
    <w:rsid w:val="005719B0"/>
    <w:rsid w:val="005D10D6"/>
    <w:rsid w:val="005D1D91"/>
    <w:rsid w:val="0063597F"/>
    <w:rsid w:val="00656E69"/>
    <w:rsid w:val="00686CF0"/>
    <w:rsid w:val="006927B6"/>
    <w:rsid w:val="00697B4D"/>
    <w:rsid w:val="006B477D"/>
    <w:rsid w:val="0070129D"/>
    <w:rsid w:val="00707F2F"/>
    <w:rsid w:val="00717446"/>
    <w:rsid w:val="00730AD5"/>
    <w:rsid w:val="00782EA2"/>
    <w:rsid w:val="007A593B"/>
    <w:rsid w:val="007D32F0"/>
    <w:rsid w:val="007E6716"/>
    <w:rsid w:val="00836E0D"/>
    <w:rsid w:val="00855E3A"/>
    <w:rsid w:val="00872D8D"/>
    <w:rsid w:val="00897673"/>
    <w:rsid w:val="008E6B23"/>
    <w:rsid w:val="008F2612"/>
    <w:rsid w:val="00922CB9"/>
    <w:rsid w:val="00992B95"/>
    <w:rsid w:val="0099379F"/>
    <w:rsid w:val="009D4616"/>
    <w:rsid w:val="009E5CD9"/>
    <w:rsid w:val="00A05F82"/>
    <w:rsid w:val="00A26421"/>
    <w:rsid w:val="00A4293B"/>
    <w:rsid w:val="00A67D50"/>
    <w:rsid w:val="00A8691A"/>
    <w:rsid w:val="00AA78D4"/>
    <w:rsid w:val="00AC1946"/>
    <w:rsid w:val="00AC3D86"/>
    <w:rsid w:val="00B13E05"/>
    <w:rsid w:val="00B14F04"/>
    <w:rsid w:val="00B40063"/>
    <w:rsid w:val="00B41F61"/>
    <w:rsid w:val="00B46AE6"/>
    <w:rsid w:val="00B844CE"/>
    <w:rsid w:val="00BA2447"/>
    <w:rsid w:val="00BA46E6"/>
    <w:rsid w:val="00BB2C87"/>
    <w:rsid w:val="00BF7355"/>
    <w:rsid w:val="00C43487"/>
    <w:rsid w:val="00C56C72"/>
    <w:rsid w:val="00C75BF7"/>
    <w:rsid w:val="00C87A8E"/>
    <w:rsid w:val="00C95952"/>
    <w:rsid w:val="00CA6457"/>
    <w:rsid w:val="00CB0722"/>
    <w:rsid w:val="00D17F2E"/>
    <w:rsid w:val="00D30354"/>
    <w:rsid w:val="00D35A5E"/>
    <w:rsid w:val="00D55F91"/>
    <w:rsid w:val="00D74E10"/>
    <w:rsid w:val="00D81ED9"/>
    <w:rsid w:val="00DD1016"/>
    <w:rsid w:val="00DD1C6E"/>
    <w:rsid w:val="00DD4061"/>
    <w:rsid w:val="00DE54C6"/>
    <w:rsid w:val="00DF42A0"/>
    <w:rsid w:val="00E32AE0"/>
    <w:rsid w:val="00E362D1"/>
    <w:rsid w:val="00E41804"/>
    <w:rsid w:val="00E541CD"/>
    <w:rsid w:val="00E54C24"/>
    <w:rsid w:val="00E564B5"/>
    <w:rsid w:val="00E769FE"/>
    <w:rsid w:val="00E84403"/>
    <w:rsid w:val="00EA2CBE"/>
    <w:rsid w:val="00EC3E52"/>
    <w:rsid w:val="00F32FEE"/>
    <w:rsid w:val="00F634A0"/>
    <w:rsid w:val="00FB10BB"/>
    <w:rsid w:val="00FC3B55"/>
    <w:rsid w:val="00FD365A"/>
    <w:rsid w:val="00FE11B9"/>
    <w:rsid w:val="010D23DB"/>
    <w:rsid w:val="014C576E"/>
    <w:rsid w:val="02A02632"/>
    <w:rsid w:val="02E37DE9"/>
    <w:rsid w:val="02E96E7B"/>
    <w:rsid w:val="03A77AA9"/>
    <w:rsid w:val="04F30395"/>
    <w:rsid w:val="057724C2"/>
    <w:rsid w:val="08B96B04"/>
    <w:rsid w:val="0B0A7F85"/>
    <w:rsid w:val="0C6A5C2F"/>
    <w:rsid w:val="0D0429D6"/>
    <w:rsid w:val="0D5D5A45"/>
    <w:rsid w:val="0F9B0DF1"/>
    <w:rsid w:val="14BD7CE1"/>
    <w:rsid w:val="15382E5F"/>
    <w:rsid w:val="175A5294"/>
    <w:rsid w:val="17E421EC"/>
    <w:rsid w:val="181D34CE"/>
    <w:rsid w:val="1AFA7273"/>
    <w:rsid w:val="1DB127CB"/>
    <w:rsid w:val="221C13FD"/>
    <w:rsid w:val="225A15B0"/>
    <w:rsid w:val="2390027B"/>
    <w:rsid w:val="25887558"/>
    <w:rsid w:val="26537883"/>
    <w:rsid w:val="27543044"/>
    <w:rsid w:val="277002A5"/>
    <w:rsid w:val="27964F43"/>
    <w:rsid w:val="27FD4A3C"/>
    <w:rsid w:val="2B004DA4"/>
    <w:rsid w:val="2E3E631D"/>
    <w:rsid w:val="2EF829B6"/>
    <w:rsid w:val="2FFA081E"/>
    <w:rsid w:val="30564D20"/>
    <w:rsid w:val="328F33E7"/>
    <w:rsid w:val="32B66DFA"/>
    <w:rsid w:val="330623B5"/>
    <w:rsid w:val="347362C2"/>
    <w:rsid w:val="353126C2"/>
    <w:rsid w:val="37E56969"/>
    <w:rsid w:val="3829755C"/>
    <w:rsid w:val="39CD362E"/>
    <w:rsid w:val="3BDF18E2"/>
    <w:rsid w:val="3C411EDC"/>
    <w:rsid w:val="3DF801E5"/>
    <w:rsid w:val="3E3256D2"/>
    <w:rsid w:val="3E974AE1"/>
    <w:rsid w:val="3F2718E8"/>
    <w:rsid w:val="3F637D93"/>
    <w:rsid w:val="40815D23"/>
    <w:rsid w:val="42AB7AE7"/>
    <w:rsid w:val="42C32DD2"/>
    <w:rsid w:val="444E43FC"/>
    <w:rsid w:val="44692B03"/>
    <w:rsid w:val="474A49AF"/>
    <w:rsid w:val="4C0E659D"/>
    <w:rsid w:val="4C8F09C5"/>
    <w:rsid w:val="4EAA4F48"/>
    <w:rsid w:val="51BC6887"/>
    <w:rsid w:val="528C248A"/>
    <w:rsid w:val="537F4743"/>
    <w:rsid w:val="57C213FF"/>
    <w:rsid w:val="5B525C8C"/>
    <w:rsid w:val="5C5B1DFD"/>
    <w:rsid w:val="5CD8760E"/>
    <w:rsid w:val="5D115BF4"/>
    <w:rsid w:val="5D5925ED"/>
    <w:rsid w:val="5E47015D"/>
    <w:rsid w:val="5EB71573"/>
    <w:rsid w:val="5EC55096"/>
    <w:rsid w:val="5F6C260B"/>
    <w:rsid w:val="61AE6390"/>
    <w:rsid w:val="623E4C85"/>
    <w:rsid w:val="627F01FD"/>
    <w:rsid w:val="65D9513F"/>
    <w:rsid w:val="663B3C8D"/>
    <w:rsid w:val="6802579B"/>
    <w:rsid w:val="684A4DF3"/>
    <w:rsid w:val="68C95292"/>
    <w:rsid w:val="6A632C26"/>
    <w:rsid w:val="6B5E5E2D"/>
    <w:rsid w:val="6CD36806"/>
    <w:rsid w:val="6F5BB1BD"/>
    <w:rsid w:val="6FB148BF"/>
    <w:rsid w:val="6FEC5AF3"/>
    <w:rsid w:val="71C60882"/>
    <w:rsid w:val="72E97E58"/>
    <w:rsid w:val="747C05B2"/>
    <w:rsid w:val="75935D9F"/>
    <w:rsid w:val="76F85B3B"/>
    <w:rsid w:val="77C85A2F"/>
    <w:rsid w:val="782678F3"/>
    <w:rsid w:val="7B612422"/>
    <w:rsid w:val="7B87617B"/>
    <w:rsid w:val="7CCB5991"/>
    <w:rsid w:val="7CFE7AE8"/>
    <w:rsid w:val="7D24194E"/>
    <w:rsid w:val="7DF55441"/>
    <w:rsid w:val="7E2210DA"/>
    <w:rsid w:val="7FFA8907"/>
    <w:rsid w:val="7FFBF631"/>
    <w:rsid w:val="7FFFFFFD"/>
    <w:rsid w:val="DBD8C3F8"/>
    <w:rsid w:val="DDDF50C5"/>
    <w:rsid w:val="DFFD6E88"/>
    <w:rsid w:val="FFF5AB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unhideWhenUsed/>
    <w:qFormat/>
    <w:uiPriority w:val="99"/>
    <w:pPr>
      <w:jc w:val="left"/>
    </w:pPr>
  </w:style>
  <w:style w:type="paragraph" w:styleId="12">
    <w:name w:val="Body Text"/>
    <w:basedOn w:val="1"/>
    <w:qFormat/>
    <w:uiPriority w:val="0"/>
    <w:rPr>
      <w:rFonts w:eastAsia="仿宋_GB2312"/>
      <w:sz w:val="28"/>
      <w:szCs w:val="18"/>
    </w:rPr>
  </w:style>
  <w:style w:type="paragraph" w:styleId="13">
    <w:name w:val="Balloon Text"/>
    <w:basedOn w:val="1"/>
    <w:link w:val="48"/>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Normal (Web)"/>
    <w:basedOn w:val="1"/>
    <w:qFormat/>
    <w:uiPriority w:val="99"/>
    <w:rPr>
      <w:rFonts w:ascii="Calibri" w:hAnsi="Calibri"/>
      <w:sz w:val="24"/>
      <w:szCs w:val="20"/>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字符"/>
    <w:basedOn w:val="20"/>
    <w:link w:val="3"/>
    <w:qFormat/>
    <w:uiPriority w:val="9"/>
    <w:rPr>
      <w:rFonts w:asciiTheme="majorHAnsi" w:hAnsiTheme="majorHAnsi" w:eastAsiaTheme="majorEastAsia"/>
      <w:b/>
      <w:bCs/>
      <w:kern w:val="32"/>
      <w:sz w:val="32"/>
      <w:szCs w:val="32"/>
    </w:rPr>
  </w:style>
  <w:style w:type="character" w:customStyle="1" w:styleId="24">
    <w:name w:val="标题 2 字符"/>
    <w:basedOn w:val="20"/>
    <w:link w:val="4"/>
    <w:semiHidden/>
    <w:qFormat/>
    <w:uiPriority w:val="9"/>
    <w:rPr>
      <w:rFonts w:asciiTheme="majorHAnsi" w:hAnsiTheme="majorHAnsi" w:eastAsiaTheme="majorEastAsia"/>
      <w:b/>
      <w:bCs/>
      <w:i/>
      <w:iCs/>
      <w:sz w:val="28"/>
      <w:szCs w:val="28"/>
    </w:rPr>
  </w:style>
  <w:style w:type="character" w:customStyle="1" w:styleId="25">
    <w:name w:val="标题 3 字符"/>
    <w:basedOn w:val="20"/>
    <w:link w:val="2"/>
    <w:semiHidden/>
    <w:qFormat/>
    <w:uiPriority w:val="9"/>
    <w:rPr>
      <w:rFonts w:asciiTheme="majorHAnsi" w:hAnsiTheme="majorHAnsi" w:eastAsiaTheme="majorEastAsia"/>
      <w:b/>
      <w:bCs/>
      <w:sz w:val="26"/>
      <w:szCs w:val="26"/>
    </w:rPr>
  </w:style>
  <w:style w:type="character" w:customStyle="1" w:styleId="26">
    <w:name w:val="标题 4 字符"/>
    <w:basedOn w:val="20"/>
    <w:link w:val="5"/>
    <w:semiHidden/>
    <w:qFormat/>
    <w:uiPriority w:val="9"/>
    <w:rPr>
      <w:b/>
      <w:bCs/>
      <w:sz w:val="28"/>
      <w:szCs w:val="28"/>
    </w:rPr>
  </w:style>
  <w:style w:type="character" w:customStyle="1" w:styleId="27">
    <w:name w:val="标题 5 字符"/>
    <w:basedOn w:val="20"/>
    <w:link w:val="6"/>
    <w:semiHidden/>
    <w:qFormat/>
    <w:uiPriority w:val="9"/>
    <w:rPr>
      <w:b/>
      <w:bCs/>
      <w:i/>
      <w:iCs/>
      <w:sz w:val="26"/>
      <w:szCs w:val="26"/>
    </w:rPr>
  </w:style>
  <w:style w:type="character" w:customStyle="1" w:styleId="28">
    <w:name w:val="标题 6 字符"/>
    <w:basedOn w:val="20"/>
    <w:link w:val="7"/>
    <w:semiHidden/>
    <w:qFormat/>
    <w:uiPriority w:val="9"/>
    <w:rPr>
      <w:b/>
      <w:bCs/>
    </w:rPr>
  </w:style>
  <w:style w:type="character" w:customStyle="1" w:styleId="29">
    <w:name w:val="标题 7 字符"/>
    <w:basedOn w:val="20"/>
    <w:link w:val="8"/>
    <w:semiHidden/>
    <w:qFormat/>
    <w:uiPriority w:val="9"/>
    <w:rPr>
      <w:sz w:val="24"/>
      <w:szCs w:val="24"/>
    </w:rPr>
  </w:style>
  <w:style w:type="character" w:customStyle="1" w:styleId="30">
    <w:name w:val="标题 8 字符"/>
    <w:basedOn w:val="20"/>
    <w:link w:val="9"/>
    <w:semiHidden/>
    <w:qFormat/>
    <w:uiPriority w:val="9"/>
    <w:rPr>
      <w:i/>
      <w:iCs/>
      <w:sz w:val="24"/>
      <w:szCs w:val="24"/>
    </w:rPr>
  </w:style>
  <w:style w:type="character" w:customStyle="1" w:styleId="31">
    <w:name w:val="标题 9 字符"/>
    <w:basedOn w:val="20"/>
    <w:link w:val="10"/>
    <w:semiHidden/>
    <w:qFormat/>
    <w:uiPriority w:val="9"/>
    <w:rPr>
      <w:rFonts w:asciiTheme="majorHAnsi" w:hAnsiTheme="majorHAnsi" w:eastAsiaTheme="majorEastAsia"/>
    </w:rPr>
  </w:style>
  <w:style w:type="character" w:customStyle="1" w:styleId="32">
    <w:name w:val="标题 字符"/>
    <w:basedOn w:val="20"/>
    <w:link w:val="18"/>
    <w:qFormat/>
    <w:uiPriority w:val="10"/>
    <w:rPr>
      <w:rFonts w:asciiTheme="majorHAnsi" w:hAnsiTheme="majorHAnsi" w:eastAsiaTheme="majorEastAsia"/>
      <w:b/>
      <w:bCs/>
      <w:kern w:val="28"/>
      <w:sz w:val="32"/>
      <w:szCs w:val="32"/>
    </w:rPr>
  </w:style>
  <w:style w:type="character" w:customStyle="1" w:styleId="33">
    <w:name w:val="副标题 字符"/>
    <w:basedOn w:val="20"/>
    <w:link w:val="16"/>
    <w:qFormat/>
    <w:uiPriority w:val="11"/>
    <w:rPr>
      <w:rFonts w:asciiTheme="majorHAnsi" w:hAnsiTheme="majorHAnsi" w:eastAsiaTheme="majorEastAsia"/>
      <w:sz w:val="24"/>
      <w:szCs w:val="24"/>
    </w:rPr>
  </w:style>
  <w:style w:type="paragraph" w:customStyle="1" w:styleId="34">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引用1"/>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20"/>
    <w:link w:val="36"/>
    <w:qFormat/>
    <w:uiPriority w:val="29"/>
    <w:rPr>
      <w:i/>
      <w:sz w:val="24"/>
      <w:szCs w:val="24"/>
    </w:rPr>
  </w:style>
  <w:style w:type="paragraph" w:customStyle="1" w:styleId="38">
    <w:name w:val="明显引用1"/>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20"/>
    <w:link w:val="38"/>
    <w:qFormat/>
    <w:uiPriority w:val="30"/>
    <w:rPr>
      <w:b/>
      <w:i/>
      <w:sz w:val="24"/>
    </w:rPr>
  </w:style>
  <w:style w:type="character" w:customStyle="1" w:styleId="40">
    <w:name w:val="不明显强调1"/>
    <w:qFormat/>
    <w:uiPriority w:val="19"/>
    <w:rPr>
      <w:i/>
      <w:color w:val="585858" w:themeColor="text1" w:themeTint="A6"/>
    </w:rPr>
  </w:style>
  <w:style w:type="character" w:customStyle="1" w:styleId="41">
    <w:name w:val="明显强调1"/>
    <w:basedOn w:val="20"/>
    <w:qFormat/>
    <w:uiPriority w:val="21"/>
    <w:rPr>
      <w:b/>
      <w:i/>
      <w:sz w:val="24"/>
      <w:szCs w:val="24"/>
      <w:u w:val="single"/>
    </w:rPr>
  </w:style>
  <w:style w:type="character" w:customStyle="1" w:styleId="42">
    <w:name w:val="不明显参考1"/>
    <w:basedOn w:val="20"/>
    <w:qFormat/>
    <w:uiPriority w:val="31"/>
    <w:rPr>
      <w:sz w:val="24"/>
      <w:szCs w:val="24"/>
      <w:u w:val="single"/>
    </w:rPr>
  </w:style>
  <w:style w:type="character" w:customStyle="1" w:styleId="43">
    <w:name w:val="明显参考1"/>
    <w:basedOn w:val="20"/>
    <w:qFormat/>
    <w:uiPriority w:val="32"/>
    <w:rPr>
      <w:b/>
      <w:sz w:val="24"/>
      <w:u w:val="single"/>
    </w:rPr>
  </w:style>
  <w:style w:type="character" w:customStyle="1" w:styleId="44">
    <w:name w:val="书籍标题1"/>
    <w:basedOn w:val="20"/>
    <w:qFormat/>
    <w:uiPriority w:val="33"/>
    <w:rPr>
      <w:rFonts w:asciiTheme="majorHAnsi" w:hAnsiTheme="majorHAnsi" w:eastAsiaTheme="majorEastAsia"/>
      <w:b/>
      <w:i/>
      <w:sz w:val="24"/>
      <w:szCs w:val="24"/>
    </w:rPr>
  </w:style>
  <w:style w:type="paragraph" w:customStyle="1" w:styleId="45">
    <w:name w:val="TOC 标题1"/>
    <w:basedOn w:val="3"/>
    <w:next w:val="1"/>
    <w:unhideWhenUsed/>
    <w:qFormat/>
    <w:uiPriority w:val="39"/>
    <w:pPr>
      <w:outlineLvl w:val="9"/>
    </w:pPr>
    <w:rPr>
      <w:lang w:eastAsia="en-US" w:bidi="en-US"/>
    </w:rPr>
  </w:style>
  <w:style w:type="character" w:customStyle="1" w:styleId="46">
    <w:name w:val="页眉 字符"/>
    <w:basedOn w:val="20"/>
    <w:link w:val="15"/>
    <w:qFormat/>
    <w:uiPriority w:val="99"/>
    <w:rPr>
      <w:rFonts w:ascii="Calibri" w:hAnsi="Calibri" w:eastAsia="宋体"/>
      <w:kern w:val="2"/>
      <w:sz w:val="18"/>
      <w:szCs w:val="18"/>
    </w:rPr>
  </w:style>
  <w:style w:type="character" w:customStyle="1" w:styleId="47">
    <w:name w:val="页脚 字符"/>
    <w:basedOn w:val="20"/>
    <w:link w:val="14"/>
    <w:qFormat/>
    <w:uiPriority w:val="99"/>
    <w:rPr>
      <w:rFonts w:ascii="Calibri" w:hAnsi="Calibri" w:eastAsia="宋体"/>
      <w:kern w:val="2"/>
      <w:sz w:val="18"/>
      <w:szCs w:val="18"/>
    </w:rPr>
  </w:style>
  <w:style w:type="character" w:customStyle="1" w:styleId="48">
    <w:name w:val="批注框文本 字符"/>
    <w:basedOn w:val="20"/>
    <w:link w:val="13"/>
    <w:semiHidden/>
    <w:qFormat/>
    <w:uiPriority w:val="99"/>
    <w:rPr>
      <w:rFonts w:ascii="Times New Roman" w:hAnsi="Times New Roman" w:eastAsia="宋体"/>
      <w:kern w:val="2"/>
      <w:sz w:val="18"/>
      <w:szCs w:val="18"/>
    </w:rPr>
  </w:style>
  <w:style w:type="paragraph" w:customStyle="1" w:styleId="49">
    <w:name w:val="Char"/>
    <w:basedOn w:val="1"/>
    <w:qFormat/>
    <w:uiPriority w:val="0"/>
    <w:rPr>
      <w:rFonts w:ascii="仿宋_GB2312" w:eastAsia="仿宋_GB2312" w:cs="黑体"/>
      <w:b/>
      <w:sz w:val="32"/>
      <w:szCs w:val="32"/>
    </w:rPr>
  </w:style>
  <w:style w:type="character" w:customStyle="1" w:styleId="50">
    <w:name w:val="Heading #1|1_"/>
    <w:basedOn w:val="20"/>
    <w:link w:val="51"/>
    <w:qFormat/>
    <w:uiPriority w:val="0"/>
    <w:rPr>
      <w:rFonts w:ascii="宋体" w:hAnsi="宋体" w:eastAsia="宋体" w:cs="宋体"/>
      <w:color w:val="47354B"/>
      <w:sz w:val="42"/>
      <w:szCs w:val="42"/>
      <w:lang w:val="zh-TW" w:eastAsia="zh-TW" w:bidi="zh-TW"/>
    </w:rPr>
  </w:style>
  <w:style w:type="paragraph" w:customStyle="1" w:styleId="51">
    <w:name w:val="Heading #1|1"/>
    <w:basedOn w:val="1"/>
    <w:link w:val="50"/>
    <w:qFormat/>
    <w:uiPriority w:val="0"/>
    <w:pPr>
      <w:spacing w:after="530" w:line="576" w:lineRule="exact"/>
      <w:jc w:val="center"/>
      <w:outlineLvl w:val="0"/>
    </w:pPr>
    <w:rPr>
      <w:rFonts w:ascii="宋体" w:hAnsi="宋体" w:cs="宋体"/>
      <w:color w:val="47354B"/>
      <w:kern w:val="0"/>
      <w:sz w:val="42"/>
      <w:szCs w:val="42"/>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17</Pages>
  <Words>1272</Words>
  <Characters>7253</Characters>
  <Lines>60</Lines>
  <Paragraphs>17</Paragraphs>
  <TotalTime>7</TotalTime>
  <ScaleCrop>false</ScaleCrop>
  <LinksUpToDate>false</LinksUpToDate>
  <CharactersWithSpaces>8508</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2019-05-30T16:11:00Z</dcterms:created>
  <dc:creator>赵 恺（预算处）</dc:creator>
  <cp:lastModifiedBy>Administrator</cp:lastModifiedBy>
  <cp:lastPrinted>2019-01-01T18:56:00Z</cp:lastPrinted>
  <dcterms:modified xsi:type="dcterms:W3CDTF">2024-10-02T06:17:28Z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D0069784028F40EFB047A4AAAB877DE2</vt:lpwstr>
  </property>
</Properties>
</file>