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jc w:val="left"/>
        <w:rPr>
          <w:rFonts w:hint="eastAsia" w:ascii="仿宋_GB2312" w:hAnsi="仿宋_GB2312" w:eastAsia="仿宋_GB2312" w:cs="仿宋_GB2312"/>
          <w:b w:val="0"/>
          <w:bCs w:val="0"/>
          <w:kern w:val="0"/>
          <w:sz w:val="32"/>
          <w:szCs w:val="32"/>
          <w:lang w:val="en-US" w:eastAsia="zh-CN"/>
        </w:rPr>
      </w:pPr>
      <w:bookmarkStart w:id="2" w:name="_GoBack"/>
      <w:bookmarkEnd w:id="2"/>
      <w:r>
        <w:rPr>
          <w:rFonts w:hint="eastAsia" w:ascii="仿宋_GB2312" w:hAnsi="仿宋_GB2312" w:eastAsia="仿宋_GB2312" w:cs="仿宋_GB2312"/>
          <w:b w:val="0"/>
          <w:bCs/>
          <w:kern w:val="0"/>
          <w:sz w:val="32"/>
          <w:szCs w:val="32"/>
        </w:rPr>
        <w:t>附件</w:t>
      </w:r>
      <w:r>
        <w:rPr>
          <w:rFonts w:hint="eastAsia" w:ascii="仿宋_GB2312" w:hAnsi="仿宋_GB2312" w:eastAsia="仿宋_GB2312" w:cs="仿宋_GB2312"/>
          <w:b w:val="0"/>
          <w:bCs/>
          <w:kern w:val="0"/>
          <w:sz w:val="32"/>
          <w:szCs w:val="32"/>
          <w:lang w:val="en-US" w:eastAsia="zh-CN"/>
        </w:rPr>
        <w:t>1</w:t>
      </w:r>
    </w:p>
    <w:p>
      <w:pPr>
        <w:widowControl/>
        <w:spacing w:before="156" w:beforeLines="50" w:after="120"/>
        <w:jc w:val="center"/>
        <w:rPr>
          <w:rFonts w:hint="eastAsia" w:ascii="宋体" w:hAnsi="宋体" w:eastAsia="宋体" w:cs="宋体"/>
          <w:b/>
          <w:kern w:val="0"/>
          <w:sz w:val="44"/>
          <w:szCs w:val="44"/>
        </w:rPr>
      </w:pPr>
      <w:r>
        <w:rPr>
          <w:rFonts w:hint="eastAsia" w:ascii="宋体" w:hAnsi="宋体" w:eastAsia="宋体" w:cs="宋体"/>
          <w:b/>
          <w:kern w:val="0"/>
          <w:sz w:val="44"/>
          <w:szCs w:val="44"/>
        </w:rPr>
        <w:t>新能源汽车生产企业准入审查要求</w:t>
      </w:r>
    </w:p>
    <w:tbl>
      <w:tblPr>
        <w:tblStyle w:val="9"/>
        <w:tblW w:w="9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8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序号</w:t>
            </w:r>
          </w:p>
        </w:tc>
        <w:tc>
          <w:tcPr>
            <w:tcW w:w="8893" w:type="dxa"/>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准入审查要求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bCs/>
                <w:kern w:val="0"/>
                <w:sz w:val="24"/>
              </w:rPr>
            </w:pPr>
            <w:r>
              <w:rPr>
                <w:rFonts w:hint="eastAsia" w:ascii="仿宋_GB2312" w:hAnsi="Times New Roman" w:eastAsia="仿宋_GB2312"/>
                <w:bCs/>
                <w:kern w:val="0"/>
                <w:sz w:val="24"/>
              </w:rPr>
              <w:t>一</w:t>
            </w:r>
          </w:p>
        </w:tc>
        <w:tc>
          <w:tcPr>
            <w:tcW w:w="8893" w:type="dxa"/>
            <w:vAlign w:val="center"/>
          </w:tcPr>
          <w:p>
            <w:pPr>
              <w:keepNext w:val="0"/>
              <w:keepLines w:val="0"/>
              <w:suppressLineNumbers w:val="0"/>
              <w:adjustRightInd w:val="0"/>
              <w:snapToGrid w:val="0"/>
              <w:spacing w:before="31" w:beforeLines="10" w:beforeAutospacing="0" w:after="31" w:afterLines="10" w:afterAutospacing="0"/>
              <w:ind w:left="0" w:right="0"/>
              <w:rPr>
                <w:rFonts w:hint="default" w:ascii="仿宋_GB2312" w:hAnsi="Times New Roman" w:eastAsia="仿宋_GB2312"/>
                <w:bCs/>
                <w:kern w:val="0"/>
                <w:sz w:val="24"/>
              </w:rPr>
            </w:pPr>
            <w:r>
              <w:rPr>
                <w:rFonts w:hint="eastAsia" w:ascii="仿宋_GB2312" w:hAnsi="Times New Roman" w:eastAsia="仿宋_GB2312"/>
                <w:sz w:val="24"/>
              </w:rPr>
              <w:t>生产能力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1*</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r>
              <w:rPr>
                <w:rFonts w:hint="eastAsia" w:ascii="仿宋_GB2312" w:hAnsi="Times New Roman" w:eastAsia="仿宋_GB2312"/>
                <w:sz w:val="24"/>
              </w:rPr>
              <w:t>新能源汽车生产企业应具备保证产品质量和安全所必需的生产设备设施。</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r>
              <w:rPr>
                <w:rFonts w:hint="eastAsia" w:ascii="仿宋_GB2312" w:hAnsi="Times New Roman" w:eastAsia="仿宋_GB2312"/>
                <w:sz w:val="24"/>
              </w:rPr>
              <w:t>应具备专用充电设备，数量应能保证产品充电需要。申请燃料电池汽车的，应能保证产品加氢需要。</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r>
              <w:rPr>
                <w:rFonts w:hint="eastAsia" w:ascii="仿宋_GB2312" w:hAnsi="Times New Roman" w:eastAsia="仿宋_GB2312"/>
                <w:sz w:val="24"/>
              </w:rPr>
              <w:t>应建立充分的安全生产管理措施、人员防护措施、应急处理措施。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2*</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bookmarkStart w:id="0" w:name="_Hlk35540146"/>
            <w:r>
              <w:rPr>
                <w:rFonts w:hint="eastAsia" w:ascii="仿宋_GB2312" w:hAnsi="Times New Roman" w:eastAsia="仿宋_GB2312"/>
                <w:sz w:val="24"/>
              </w:rPr>
              <w:t>应按照投资项目审批文件要求完成项目建设。其中，投资项目审批文件中要求建设发动机生产条件的整车生产企业，申请插电式混合动力汽车产品时，应具备发动机的生产能力，至少应有缸体、缸盖的精加工生产线，机械化的发动机总成装配线及发动机试验台架。曲轴、凸轮轴、连杆可委托加工。</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二</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rPr>
                <w:rFonts w:hint="default" w:ascii="仿宋_GB2312" w:hAnsi="Times New Roman" w:eastAsia="仿宋_GB2312"/>
                <w:sz w:val="24"/>
              </w:rPr>
            </w:pPr>
            <w:r>
              <w:rPr>
                <w:rFonts w:hint="eastAsia" w:ascii="仿宋_GB2312" w:hAnsi="Times New Roman" w:eastAsia="仿宋_GB2312"/>
                <w:sz w:val="24"/>
              </w:rPr>
              <w:t>产品生产一致性保证能力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3</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新能源汽车生产企业应实施计算机信息化管理，至少应建立产品可追溯性信息管理系统，应对发动机、车载能源系统/燃料电池系统、储氢系统、驱动电机、整车控制器等关键零部件总成，以及整车配置、出厂检测数据等进行可追溯性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4</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针对所有原材料、常规部件、车载能源系统及其他电器系统部件、软件及服务等供方，应建立供应链管理体系，确定供方及其产品评价标准、采购技术协议、产品验证规范，对供方及其产品进行评价和选择，并进行日常监督管理，以保证产品的质量和安全性。应保留对供方及其产品的评价、选择、管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5*</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lang w:eastAsia="zh-CN"/>
              </w:rPr>
            </w:pPr>
            <w:bookmarkStart w:id="1" w:name="_Hlk35540664"/>
            <w:r>
              <w:rPr>
                <w:rFonts w:hint="eastAsia" w:ascii="仿宋_GB2312" w:hAnsi="Times New Roman" w:eastAsia="仿宋_GB2312"/>
                <w:sz w:val="24"/>
              </w:rPr>
              <w:t>应具备保证产品质量所必需的进货检验、过程检验、出厂检验等设备和辅助检具，检验项目覆盖整车主要技术特性参数、主要零部件基本技术参数、功能和性能方面的检验内容，对安全、环保、节能等法规符合性、顾客特殊要求、新能源汽车专项检测项目要求应特别关注，性能指标应满足相关技术标准的要求，且与所要求的测量能力一致。</w:t>
            </w:r>
            <w:r>
              <w:rPr>
                <w:rFonts w:hint="eastAsia" w:ascii="仿宋_GB2312" w:hAnsi="Times New Roman" w:eastAsia="仿宋_GB2312"/>
                <w:sz w:val="24"/>
                <w:lang w:eastAsia="zh-CN"/>
              </w:rPr>
              <w:t>进货检验可利用供方、外部机构的检验能力。</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应具备车载能源系统/燃料电池系统、驱动系统的电气性能与安全、温度、储氢系统安全等项目的检验设备以及整车安全检测线。</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申请燃料电池汽车的，还应具备燃料电池车载氢系统泄漏及高压气体安全方面的测试仪器和设备。</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应具备整车控制器总成检验能力、整车下线后控制系统及其子系统的检验能力，具备故障诊断专用仪器和软件。</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6*</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应建立从关键零部件总成供方至整车出厂的完整的产品可追溯体系。应建立整车产品信息及出厂检测数据记录和存储系统，存档期限不低于产品的预期生命周期。</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当产品质量、安全、环保等方面发生重大共性问题和设计缺陷时（包括由于供方原因引起的问题），应能迅速查明原因，确定召回范围，并采取必要措施；当顾客需要维修备件时，应能够迅速确定所需备件的技术状态。</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对于发动机、车载能源系统/燃料电池系统、储氢系统、驱动电机、整车控制器等关键部件，应建立易见的、不可更换的、唯一性标识，并建立可以支持产品追溯的信息数据库。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三</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rPr>
                <w:rFonts w:hint="default" w:ascii="仿宋_GB2312" w:hAnsi="Times New Roman" w:eastAsia="仿宋_GB2312"/>
                <w:sz w:val="24"/>
              </w:rPr>
            </w:pPr>
            <w:r>
              <w:rPr>
                <w:rFonts w:hint="eastAsia" w:ascii="仿宋_GB2312" w:hAnsi="Times New Roman" w:eastAsia="仿宋_GB2312"/>
                <w:sz w:val="24"/>
              </w:rPr>
              <w:t>售后服务及产品安全保障能力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7</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完整的文件化的销售和售后服务管理体系，包括人员培训（企业内部人员、经销商人员、顾客或使用单位的人员）、销售和售后服务网络建设、维修服务提供、备件提供、索赔处理、信息反馈、整车产品召回、零部件（如电池）回收及再利用、客户管理等内容，并有能力实施。</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应建立相应的技术文件体系，包括销售技术培训手册、整车/底盘/电子电器系统的维修手册、备件目录、专用工具和仪器清单、产品使用说明书、售后服务承诺、应急措施等。</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售后服务承诺内容应充分适宜，应在本企业网站上向社会公开，并严格履行。</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已获得新能源汽车生产准入的企业如果发生重组，应保证重组后企业提供的售后服务不低于重组前作出的售后服务承诺。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8</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维修服务、备件供应满足所有客户要求，能保证在产品的使用寿命期限内、在企业承诺的限定服务时间内向顾客提供可靠的备件、维修和咨询服务。</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售后服务体系除能独立完成或与供方协作完成与常规汽车相同的售后服务项目外，还应具备整车及车载能源系统、驱动系统、控制系统及子系统和相关部件的故障诊断专用仪器和软件，具备相应的维修服务能力和更换能力。</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应建立零部件（如电池）回收及再利用的渠道，与有关各方签订相关协议，确保回收及再利用的顺利实施。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9*</w:t>
            </w:r>
          </w:p>
        </w:tc>
        <w:tc>
          <w:tcPr>
            <w:tcW w:w="88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应建立质量信息及时反馈机制及产品安全保障机制。</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应在产品全生命周期内为所销售的每一辆新能源汽车（含底盘）建立相应的档案，跟踪汽车使用、维护、维修情况，建立新能源汽车动力电池溯源信息管理系统，跟踪记录动力电池回收利用情况。</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按照与用户的协议，对已销售的全部新能源汽车（含底盘）的运行安全状态进行监测，直至汽车停止使用或报废。监测数据应至少包括车辆运行安全、故障、充电、能耗情况等方面，应对监测数据进行分析，并能为车辆改进提供数据支持。监测数据保存期应不低于产品的生命周期。企业监测平台应与地方和国家新能源汽车推广应用监测平台对接。</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应建立新能源汽车安全事故应急处理制度，包括应急预案、抢险救援方案、事故调查及汇报方案等。</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应编写年度报告。年度报告应长期存档备查。</w:t>
            </w:r>
          </w:p>
        </w:tc>
      </w:tr>
    </w:tbl>
    <w:p>
      <w:pPr>
        <w:widowControl/>
        <w:snapToGrid w:val="0"/>
        <w:spacing w:line="420" w:lineRule="exact"/>
        <w:ind w:firstLine="240" w:firstLineChars="100"/>
        <w:jc w:val="left"/>
        <w:rPr>
          <w:rFonts w:ascii="仿宋_GB2312" w:hAnsi="Times New Roman" w:eastAsia="仿宋_GB2312"/>
          <w:bCs/>
          <w:kern w:val="0"/>
          <w:sz w:val="24"/>
          <w:szCs w:val="22"/>
        </w:rPr>
      </w:pPr>
      <w:r>
        <w:rPr>
          <w:rFonts w:hint="eastAsia" w:ascii="仿宋_GB2312" w:hAnsi="Times New Roman" w:eastAsia="仿宋_GB2312"/>
          <w:bCs/>
          <w:kern w:val="0"/>
          <w:sz w:val="24"/>
          <w:szCs w:val="22"/>
        </w:rPr>
        <w:t>注：1．申请新能源汽车生产企业准入的企业，如已按照相同类别的常规汽车生产企业准入管理规则通过审查，则对相关要求免予审查。</w:t>
      </w:r>
    </w:p>
    <w:p>
      <w:pPr>
        <w:widowControl/>
        <w:snapToGrid w:val="0"/>
        <w:spacing w:line="420" w:lineRule="exact"/>
        <w:jc w:val="left"/>
        <w:rPr>
          <w:rFonts w:ascii="Times New Roman" w:hAnsi="Times New Roman" w:eastAsia="仿宋_GB2312"/>
          <w:bCs/>
          <w:kern w:val="0"/>
          <w:sz w:val="24"/>
          <w:szCs w:val="22"/>
        </w:rPr>
      </w:pPr>
      <w:r>
        <w:rPr>
          <w:rFonts w:hint="eastAsia" w:ascii="仿宋_GB2312" w:hAnsi="Times New Roman" w:eastAsia="仿宋_GB2312"/>
          <w:bCs/>
          <w:kern w:val="0"/>
          <w:sz w:val="24"/>
          <w:szCs w:val="22"/>
        </w:rPr>
        <w:t xml:space="preserve">      2．表中准</w:t>
      </w:r>
      <w:r>
        <w:rPr>
          <w:rFonts w:hint="eastAsia" w:ascii="Times New Roman" w:hAnsi="Times New Roman" w:eastAsia="仿宋_GB2312"/>
          <w:bCs/>
          <w:kern w:val="0"/>
          <w:sz w:val="24"/>
          <w:szCs w:val="22"/>
        </w:rPr>
        <w:t>入审查要求分为否决项和一般项两类，共9个条款，标注“*”的条款（共5个）为否决项。</w:t>
      </w:r>
    </w:p>
    <w:p>
      <w:pPr>
        <w:widowControl/>
        <w:snapToGrid w:val="0"/>
        <w:spacing w:line="420" w:lineRule="exact"/>
        <w:jc w:val="left"/>
        <w:rPr>
          <w:rFonts w:ascii="Times New Roman" w:hAnsi="Times New Roman" w:eastAsia="仿宋_GB2312"/>
          <w:bCs/>
          <w:kern w:val="0"/>
          <w:sz w:val="24"/>
          <w:szCs w:val="22"/>
        </w:rPr>
      </w:pPr>
      <w:r>
        <w:rPr>
          <w:rFonts w:hint="eastAsia" w:ascii="Times New Roman" w:hAnsi="Times New Roman" w:eastAsia="仿宋_GB2312"/>
          <w:bCs/>
          <w:kern w:val="0"/>
          <w:sz w:val="24"/>
          <w:szCs w:val="22"/>
        </w:rPr>
        <w:t xml:space="preserve">      3．判定原则如下：</w:t>
      </w:r>
    </w:p>
    <w:p>
      <w:pPr>
        <w:widowControl/>
        <w:snapToGrid w:val="0"/>
        <w:spacing w:line="420" w:lineRule="exact"/>
        <w:ind w:firstLine="480" w:firstLineChars="200"/>
        <w:jc w:val="left"/>
        <w:rPr>
          <w:rFonts w:ascii="Times New Roman" w:hAnsi="Times New Roman" w:eastAsia="仿宋_GB2312"/>
          <w:bCs/>
          <w:kern w:val="0"/>
          <w:sz w:val="24"/>
          <w:szCs w:val="22"/>
        </w:rPr>
      </w:pPr>
      <w:r>
        <w:rPr>
          <w:rFonts w:hint="eastAsia" w:ascii="Times New Roman" w:hAnsi="Times New Roman" w:eastAsia="仿宋_GB2312"/>
          <w:bCs/>
          <w:kern w:val="0"/>
          <w:sz w:val="24"/>
          <w:szCs w:val="22"/>
        </w:rPr>
        <w:t>（1）现场考核全部否决项均符合要求，一般项不符合不超过2项，审查结论为通过；其余情况均为不通过。</w:t>
      </w:r>
    </w:p>
    <w:p>
      <w:pPr>
        <w:widowControl/>
        <w:snapToGrid w:val="0"/>
        <w:spacing w:line="420" w:lineRule="exact"/>
        <w:ind w:firstLine="480" w:firstLineChars="200"/>
        <w:jc w:val="left"/>
        <w:rPr>
          <w:rFonts w:hint="eastAsia" w:ascii="Times New Roman" w:hAnsi="Times New Roman" w:eastAsia="仿宋_GB2312"/>
          <w:bCs/>
          <w:kern w:val="0"/>
          <w:sz w:val="24"/>
          <w:szCs w:val="22"/>
        </w:rPr>
      </w:pPr>
      <w:r>
        <w:rPr>
          <w:rFonts w:hint="eastAsia" w:ascii="Times New Roman" w:hAnsi="Times New Roman" w:eastAsia="仿宋_GB2312"/>
          <w:bCs/>
          <w:kern w:val="0"/>
          <w:sz w:val="24"/>
          <w:szCs w:val="22"/>
        </w:rPr>
        <w:t>（2）当现场考核结果未达到本注中第（1）条要求时，申请企业可在3个月内针对不符合项进行整改，经验证后达到本注中第（1）条要求的，考核结论为通过；验证未达到第（1）条要求的，结论为不通过，企业需重新申请。整改验证只能进行一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665A"/>
    <w:rsid w:val="00207C31"/>
    <w:rsid w:val="00344362"/>
    <w:rsid w:val="00344B9C"/>
    <w:rsid w:val="00382BB9"/>
    <w:rsid w:val="003F79E4"/>
    <w:rsid w:val="006A02A1"/>
    <w:rsid w:val="007F32B3"/>
    <w:rsid w:val="009E4DF8"/>
    <w:rsid w:val="00D14CA7"/>
    <w:rsid w:val="00EB1A76"/>
    <w:rsid w:val="00EC1FFF"/>
    <w:rsid w:val="00F97E99"/>
    <w:rsid w:val="01CB188C"/>
    <w:rsid w:val="06FE0CDF"/>
    <w:rsid w:val="0FADC406"/>
    <w:rsid w:val="1F3BB340"/>
    <w:rsid w:val="214B4F0D"/>
    <w:rsid w:val="2BFE2EA6"/>
    <w:rsid w:val="32CA08F7"/>
    <w:rsid w:val="33E327A1"/>
    <w:rsid w:val="36BA87E1"/>
    <w:rsid w:val="3BFFD2AF"/>
    <w:rsid w:val="3DDF55DC"/>
    <w:rsid w:val="3DEFC0B0"/>
    <w:rsid w:val="3FBB5B3B"/>
    <w:rsid w:val="47FF22BC"/>
    <w:rsid w:val="4AFB257D"/>
    <w:rsid w:val="4F6FAA5D"/>
    <w:rsid w:val="51DFA526"/>
    <w:rsid w:val="573FE58D"/>
    <w:rsid w:val="57FFD753"/>
    <w:rsid w:val="59FCF7E6"/>
    <w:rsid w:val="5B8C3299"/>
    <w:rsid w:val="5FEA5240"/>
    <w:rsid w:val="6039284A"/>
    <w:rsid w:val="64E739E9"/>
    <w:rsid w:val="6877074A"/>
    <w:rsid w:val="6BF71430"/>
    <w:rsid w:val="6DCFF008"/>
    <w:rsid w:val="6DFDF29C"/>
    <w:rsid w:val="6DFFDB62"/>
    <w:rsid w:val="6EEAD5C2"/>
    <w:rsid w:val="6FD67E26"/>
    <w:rsid w:val="6FF7E345"/>
    <w:rsid w:val="78340C66"/>
    <w:rsid w:val="78EFCC0A"/>
    <w:rsid w:val="7B1FB2CC"/>
    <w:rsid w:val="7BFF6BF9"/>
    <w:rsid w:val="7E178931"/>
    <w:rsid w:val="7FA7523B"/>
    <w:rsid w:val="7FBFBCB2"/>
    <w:rsid w:val="7FFF4A5C"/>
    <w:rsid w:val="8BDB38FC"/>
    <w:rsid w:val="8F731630"/>
    <w:rsid w:val="AFFBC4B8"/>
    <w:rsid w:val="BEFBC83B"/>
    <w:rsid w:val="BF7ACB91"/>
    <w:rsid w:val="D0B760FC"/>
    <w:rsid w:val="D3DD0ABD"/>
    <w:rsid w:val="DD8F83D4"/>
    <w:rsid w:val="DD9B428B"/>
    <w:rsid w:val="DDFAF649"/>
    <w:rsid w:val="DEFEECDF"/>
    <w:rsid w:val="DF5CDD55"/>
    <w:rsid w:val="E6FFF7CA"/>
    <w:rsid w:val="E82F6A91"/>
    <w:rsid w:val="EA39E4C1"/>
    <w:rsid w:val="EDDB8387"/>
    <w:rsid w:val="EECB068F"/>
    <w:rsid w:val="EEFAF2AA"/>
    <w:rsid w:val="EF7D047F"/>
    <w:rsid w:val="F1468280"/>
    <w:rsid w:val="FAFB88CC"/>
    <w:rsid w:val="FB4EF9AE"/>
    <w:rsid w:val="FFBBE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widowControl/>
      <w:spacing w:after="240" w:afterLines="0"/>
      <w:ind w:left="142"/>
    </w:pPr>
    <w:rPr>
      <w:rFonts w:ascii="Verdana" w:hAnsi="Verdana" w:eastAsia="宋体" w:cs="Times New Roman"/>
      <w:kern w:val="0"/>
      <w:sz w:val="18"/>
      <w:lang w:eastAsia="en-US"/>
    </w:rPr>
  </w:style>
  <w:style w:type="paragraph" w:styleId="3">
    <w:name w:val="Body Text Indent"/>
    <w:basedOn w:val="1"/>
    <w:link w:val="14"/>
    <w:unhideWhenUsed/>
    <w:qFormat/>
    <w:uiPriority w:val="99"/>
    <w:pPr>
      <w:spacing w:after="120"/>
      <w:ind w:left="420" w:leftChars="200"/>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6"/>
    <w:unhideWhenUsed/>
    <w:qFormat/>
    <w:uiPriority w:val="99"/>
    <w:pPr>
      <w:ind w:firstLine="420" w:firstLineChars="200"/>
    </w:pPr>
  </w:style>
  <w:style w:type="character" w:styleId="11">
    <w:name w:val="page number"/>
    <w:basedOn w:val="10"/>
    <w:qFormat/>
    <w:uiPriority w:val="0"/>
  </w:style>
  <w:style w:type="character" w:styleId="12">
    <w:name w:val="Hyperlink"/>
    <w:unhideWhenUsed/>
    <w:qFormat/>
    <w:uiPriority w:val="0"/>
    <w:rPr>
      <w:rFonts w:hint="eastAsia" w:ascii="宋体" w:hAnsi="宋体" w:eastAsia="宋体"/>
      <w:color w:val="000000"/>
      <w:sz w:val="18"/>
    </w:rPr>
  </w:style>
  <w:style w:type="character" w:customStyle="1" w:styleId="13">
    <w:name w:val="10"/>
    <w:basedOn w:val="10"/>
    <w:qFormat/>
    <w:uiPriority w:val="0"/>
    <w:rPr>
      <w:rFonts w:hint="default" w:ascii="Calibri" w:hAnsi="Calibri" w:cs="Calibri"/>
    </w:rPr>
  </w:style>
  <w:style w:type="character" w:customStyle="1" w:styleId="14">
    <w:name w:val="正文文本缩进 字符"/>
    <w:basedOn w:val="10"/>
    <w:link w:val="3"/>
    <w:semiHidden/>
    <w:qFormat/>
    <w:uiPriority w:val="99"/>
    <w:rPr>
      <w:rFonts w:ascii="Calibri" w:hAnsi="Calibri" w:eastAsia="宋体" w:cs="Times New Roman"/>
      <w:szCs w:val="24"/>
    </w:rPr>
  </w:style>
  <w:style w:type="character" w:customStyle="1" w:styleId="15">
    <w:name w:val="批注框文本 字符"/>
    <w:basedOn w:val="10"/>
    <w:link w:val="4"/>
    <w:semiHidden/>
    <w:qFormat/>
    <w:uiPriority w:val="99"/>
    <w:rPr>
      <w:rFonts w:ascii="Calibri" w:hAnsi="Calibri" w:eastAsia="宋体" w:cs="Times New Roman"/>
      <w:sz w:val="18"/>
      <w:szCs w:val="18"/>
    </w:rPr>
  </w:style>
  <w:style w:type="character" w:customStyle="1" w:styleId="16">
    <w:name w:val="正文文本首行缩进 2 字符"/>
    <w:basedOn w:val="14"/>
    <w:link w:val="8"/>
    <w:semiHidden/>
    <w:qFormat/>
    <w:uiPriority w:val="99"/>
    <w:rPr>
      <w:rFonts w:ascii="Calibri" w:hAnsi="Calibri" w:eastAsia="宋体" w:cs="Times New Roman"/>
      <w:szCs w:val="24"/>
    </w:rPr>
  </w:style>
  <w:style w:type="character" w:customStyle="1" w:styleId="17">
    <w:name w:val="页脚 字符"/>
    <w:basedOn w:val="10"/>
    <w:link w:val="5"/>
    <w:qFormat/>
    <w:uiPriority w:val="99"/>
    <w:rPr>
      <w:rFonts w:ascii="Calibri" w:hAnsi="Calibri" w:eastAsia="宋体" w:cs="Times New Roman"/>
      <w:sz w:val="18"/>
      <w:szCs w:val="18"/>
    </w:rPr>
  </w:style>
  <w:style w:type="character" w:customStyle="1" w:styleId="18">
    <w:name w:val="页眉 字符"/>
    <w:basedOn w:val="10"/>
    <w:link w:val="6"/>
    <w:qFormat/>
    <w:uiPriority w:val="99"/>
    <w:rPr>
      <w:rFonts w:ascii="Calibri" w:hAnsi="Calibri" w:eastAsia="宋体" w:cs="Times New Roman"/>
      <w:sz w:val="18"/>
      <w:szCs w:val="18"/>
    </w:rPr>
  </w:style>
  <w:style w:type="character" w:customStyle="1" w:styleId="19">
    <w:name w:val="15"/>
    <w:basedOn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2212</Words>
  <Characters>2217</Characters>
  <Lines>1</Lines>
  <Paragraphs>1</Paragraphs>
  <TotalTime>3</TotalTime>
  <ScaleCrop>false</ScaleCrop>
  <LinksUpToDate>false</LinksUpToDate>
  <CharactersWithSpaces>2229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2020-03-28T11:42:00Z</dcterms:created>
  <dc:creator>徐 青</dc:creator>
  <cp:lastModifiedBy>厦门在逃海蛎煎</cp:lastModifiedBy>
  <dcterms:modified xsi:type="dcterms:W3CDTF">2023-04-24T03:56:59Z</dcterms:modified>
  <dc:title>工业和信息化部关于修改《新能源汽车生产企业及产品准入管理规定》的决定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CABAE6A80CB540F6B2514A6004F67DC0</vt:lpwstr>
  </property>
</Properties>
</file>