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topLinePunct w:val="0"/>
        <w:autoSpaceDE/>
        <w:autoSpaceDN/>
        <w:bidi w:val="0"/>
        <w:adjustRightInd/>
        <w:snapToGrid/>
        <w:spacing w:line="578"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lang w:val="en-US" w:eastAsia="zh-CN"/>
        </w:rPr>
        <w:t>阿图什市</w:t>
      </w:r>
      <w:r>
        <w:rPr>
          <w:rFonts w:hint="default" w:ascii="Times New Roman" w:hAnsi="Times New Roman" w:eastAsia="方正小标宋简体" w:cs="Times New Roman"/>
          <w:b w:val="0"/>
          <w:bCs w:val="0"/>
          <w:color w:val="auto"/>
          <w:sz w:val="44"/>
          <w:szCs w:val="44"/>
        </w:rPr>
        <w:t>20</w:t>
      </w:r>
      <w:r>
        <w:rPr>
          <w:rFonts w:hint="default" w:ascii="Times New Roman" w:hAnsi="Times New Roman" w:eastAsia="方正小标宋简体" w:cs="Times New Roman"/>
          <w:b w:val="0"/>
          <w:bCs w:val="0"/>
          <w:color w:val="auto"/>
          <w:sz w:val="44"/>
          <w:szCs w:val="44"/>
          <w:lang w:val="en-US" w:eastAsia="zh-CN"/>
        </w:rPr>
        <w:t>20</w:t>
      </w:r>
      <w:r>
        <w:rPr>
          <w:rFonts w:hint="default" w:ascii="Times New Roman" w:hAnsi="Times New Roman" w:eastAsia="方正小标宋简体" w:cs="Times New Roman"/>
          <w:b w:val="0"/>
          <w:bCs w:val="0"/>
          <w:color w:val="auto"/>
          <w:sz w:val="44"/>
          <w:szCs w:val="44"/>
        </w:rPr>
        <w:t>年国民经济和社会发展</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rPr>
        <w:t>计划执行情况与202</w:t>
      </w:r>
      <w:r>
        <w:rPr>
          <w:rFonts w:hint="default" w:ascii="Times New Roman" w:hAnsi="Times New Roman" w:eastAsia="方正小标宋简体" w:cs="Times New Roman"/>
          <w:b w:val="0"/>
          <w:bCs w:val="0"/>
          <w:color w:val="auto"/>
          <w:sz w:val="44"/>
          <w:szCs w:val="44"/>
          <w:lang w:val="en-US" w:eastAsia="zh-CN"/>
        </w:rPr>
        <w:t>1</w:t>
      </w:r>
      <w:r>
        <w:rPr>
          <w:rFonts w:hint="default" w:ascii="Times New Roman" w:hAnsi="Times New Roman" w:eastAsia="方正小标宋简体" w:cs="Times New Roman"/>
          <w:b w:val="0"/>
          <w:bCs w:val="0"/>
          <w:color w:val="auto"/>
          <w:sz w:val="44"/>
          <w:szCs w:val="44"/>
        </w:rPr>
        <w:t>年国民经济</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rPr>
        <w:t>和社会发展计划</w:t>
      </w:r>
      <w:r>
        <w:rPr>
          <w:rFonts w:hint="default" w:ascii="Times New Roman" w:hAnsi="Times New Roman" w:eastAsia="方正小标宋简体" w:cs="Times New Roman"/>
          <w:b w:val="0"/>
          <w:bCs w:val="0"/>
          <w:color w:val="auto"/>
          <w:sz w:val="44"/>
          <w:szCs w:val="44"/>
          <w:lang w:eastAsia="zh-CN"/>
        </w:rPr>
        <w:t>（</w:t>
      </w:r>
      <w:r>
        <w:rPr>
          <w:rFonts w:hint="default" w:ascii="Times New Roman" w:hAnsi="Times New Roman" w:eastAsia="方正小标宋简体" w:cs="Times New Roman"/>
          <w:b w:val="0"/>
          <w:bCs w:val="0"/>
          <w:color w:val="auto"/>
          <w:sz w:val="44"/>
          <w:szCs w:val="44"/>
          <w:lang w:val="en-US" w:eastAsia="zh-CN"/>
        </w:rPr>
        <w:t>草案</w:t>
      </w:r>
      <w:r>
        <w:rPr>
          <w:rFonts w:hint="default" w:ascii="Times New Roman" w:hAnsi="Times New Roman" w:eastAsia="方正小标宋简体" w:cs="Times New Roman"/>
          <w:b w:val="0"/>
          <w:bCs w:val="0"/>
          <w:color w:val="auto"/>
          <w:sz w:val="44"/>
          <w:szCs w:val="44"/>
          <w:lang w:eastAsia="zh-CN"/>
        </w:rPr>
        <w:t>）</w:t>
      </w:r>
      <w:r>
        <w:rPr>
          <w:rFonts w:hint="default" w:ascii="Times New Roman" w:hAnsi="Times New Roman" w:eastAsia="方正小标宋简体" w:cs="Times New Roman"/>
          <w:b w:val="0"/>
          <w:bCs w:val="0"/>
          <w:color w:val="auto"/>
          <w:sz w:val="44"/>
          <w:szCs w:val="44"/>
        </w:rPr>
        <w:t>报告</w:t>
      </w:r>
    </w:p>
    <w:p>
      <w:pPr>
        <w:pStyle w:val="5"/>
        <w:pageBreakBefore w:val="0"/>
        <w:widowControl w:val="0"/>
        <w:kinsoku/>
        <w:wordWrap/>
        <w:topLinePunct w:val="0"/>
        <w:autoSpaceDE/>
        <w:autoSpaceDN/>
        <w:bidi w:val="0"/>
        <w:adjustRightInd/>
        <w:snapToGrid/>
        <w:spacing w:line="578" w:lineRule="exact"/>
        <w:textAlignment w:val="auto"/>
        <w:rPr>
          <w:rFonts w:hint="default" w:ascii="Times New Roman" w:hAnsi="Times New Roman" w:eastAsia="方正楷体_GBK" w:cs="Times New Roman"/>
          <w:b w:val="0"/>
          <w:bCs w:val="0"/>
          <w:color w:val="auto"/>
          <w:kern w:val="0"/>
          <w:sz w:val="32"/>
          <w:szCs w:val="32"/>
          <w:lang w:val="en-US" w:eastAsia="zh-CN" w:bidi="ar-SA"/>
        </w:rPr>
      </w:pPr>
    </w:p>
    <w:p>
      <w:pPr>
        <w:pStyle w:val="16"/>
        <w:keepNext w:val="0"/>
        <w:keepLines w:val="0"/>
        <w:pageBreakBefore w:val="0"/>
        <w:widowControl w:val="0"/>
        <w:kinsoku/>
        <w:wordWrap/>
        <w:overflowPunct/>
        <w:topLinePunct w:val="0"/>
        <w:autoSpaceDE/>
        <w:autoSpaceDN/>
        <w:bidi w:val="0"/>
        <w:adjustRightInd/>
        <w:snapToGrid/>
        <w:spacing w:line="578" w:lineRule="exact"/>
        <w:ind w:left="420" w:right="0" w:rightChars="0"/>
        <w:jc w:val="center"/>
        <w:textAlignment w:val="auto"/>
        <w:outlineLvl w:val="9"/>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rPr>
        <w:t>20</w:t>
      </w:r>
      <w:r>
        <w:rPr>
          <w:rFonts w:hint="default" w:ascii="Times New Roman" w:hAnsi="Times New Roman" w:eastAsia="楷体_GB2312" w:cs="Times New Roman"/>
          <w:b w:val="0"/>
          <w:bCs w:val="0"/>
          <w:color w:val="auto"/>
          <w:sz w:val="32"/>
          <w:szCs w:val="32"/>
          <w:lang w:val="en-US" w:eastAsia="zh-CN"/>
        </w:rPr>
        <w:t>21</w:t>
      </w:r>
      <w:r>
        <w:rPr>
          <w:rFonts w:hint="default" w:ascii="Times New Roman" w:hAnsi="Times New Roman" w:eastAsia="楷体_GB2312" w:cs="Times New Roman"/>
          <w:b w:val="0"/>
          <w:bCs w:val="0"/>
          <w:color w:val="auto"/>
          <w:sz w:val="32"/>
          <w:szCs w:val="32"/>
        </w:rPr>
        <w:t>年</w:t>
      </w:r>
      <w:r>
        <w:rPr>
          <w:rFonts w:hint="default" w:ascii="Times New Roman" w:hAnsi="Times New Roman" w:eastAsia="楷体_GB2312" w:cs="Times New Roman"/>
          <w:b w:val="0"/>
          <w:bCs w:val="0"/>
          <w:color w:val="auto"/>
          <w:sz w:val="32"/>
          <w:szCs w:val="32"/>
          <w:lang w:val="en-US" w:eastAsia="zh-CN"/>
        </w:rPr>
        <w:t>1</w:t>
      </w:r>
      <w:r>
        <w:rPr>
          <w:rFonts w:hint="default" w:ascii="Times New Roman" w:hAnsi="Times New Roman" w:eastAsia="楷体_GB2312" w:cs="Times New Roman"/>
          <w:b w:val="0"/>
          <w:bCs w:val="0"/>
          <w:color w:val="auto"/>
          <w:sz w:val="32"/>
          <w:szCs w:val="32"/>
        </w:rPr>
        <w:t>月</w:t>
      </w:r>
      <w:r>
        <w:rPr>
          <w:rFonts w:hint="default" w:ascii="Times New Roman" w:hAnsi="Times New Roman" w:eastAsia="楷体_GB2312" w:cs="Times New Roman"/>
          <w:b w:val="0"/>
          <w:bCs w:val="0"/>
          <w:color w:val="auto"/>
          <w:sz w:val="32"/>
          <w:szCs w:val="32"/>
          <w:lang w:val="en-US" w:eastAsia="zh-CN"/>
        </w:rPr>
        <w:t>8日阿图什市第九届人民代表大会第六次会议上</w:t>
      </w:r>
    </w:p>
    <w:p>
      <w:pPr>
        <w:pStyle w:val="16"/>
        <w:keepNext w:val="0"/>
        <w:keepLines w:val="0"/>
        <w:pageBreakBefore w:val="0"/>
        <w:widowControl w:val="0"/>
        <w:kinsoku/>
        <w:wordWrap/>
        <w:overflowPunct/>
        <w:topLinePunct w:val="0"/>
        <w:autoSpaceDE/>
        <w:autoSpaceDN/>
        <w:bidi w:val="0"/>
        <w:adjustRightInd/>
        <w:snapToGrid/>
        <w:spacing w:line="578" w:lineRule="exact"/>
        <w:ind w:left="420" w:right="0" w:rightChars="0"/>
        <w:jc w:val="center"/>
        <w:textAlignment w:val="auto"/>
        <w:outlineLvl w:val="9"/>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阿图什市发展和改革委员会主任  杨祥涌</w:t>
      </w:r>
    </w:p>
    <w:p>
      <w:pPr>
        <w:keepNext w:val="0"/>
        <w:keepLines w:val="0"/>
        <w:pageBreakBefore w:val="0"/>
        <w:widowControl w:val="0"/>
        <w:kinsoku/>
        <w:wordWrap/>
        <w:topLinePunct w:val="0"/>
        <w:autoSpaceDE/>
        <w:autoSpaceDN/>
        <w:bidi w:val="0"/>
        <w:adjustRightInd/>
        <w:snapToGrid/>
        <w:spacing w:line="578" w:lineRule="exact"/>
        <w:ind w:left="0" w:leftChars="0" w:right="0" w:rightChars="0"/>
        <w:jc w:val="lef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right="0" w:rightChars="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各位代表：</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我受市人民政府委托，向大会报告阿图什市2020年国民经济和社会发展计划执行情况与2021年国民经济和社会发展计划工作报告，请予审议，并请政协委员和列席人员提出意见。</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right="0" w:rightChars="0" w:firstLine="640" w:firstLineChars="200"/>
        <w:jc w:val="both"/>
        <w:textAlignment w:val="auto"/>
        <w:outlineLvl w:val="9"/>
        <w:rPr>
          <w:rFonts w:hint="default" w:ascii="Times New Roman" w:hAnsi="Times New Roman" w:eastAsia="黑体" w:cs="Times New Roman"/>
          <w:b w:val="0"/>
          <w:bCs w:val="0"/>
          <w:snapToGrid w:val="0"/>
          <w:color w:val="auto"/>
          <w:kern w:val="0"/>
          <w:sz w:val="32"/>
          <w:szCs w:val="32"/>
          <w:lang w:val="en-US" w:eastAsia="zh-CN"/>
        </w:rPr>
      </w:pPr>
      <w:r>
        <w:rPr>
          <w:rFonts w:hint="default" w:ascii="Times New Roman" w:hAnsi="Times New Roman" w:eastAsia="黑体" w:cs="Times New Roman"/>
          <w:b w:val="0"/>
          <w:bCs w:val="0"/>
          <w:snapToGrid w:val="0"/>
          <w:color w:val="auto"/>
          <w:kern w:val="0"/>
          <w:sz w:val="32"/>
          <w:szCs w:val="32"/>
          <w:lang w:val="en-US" w:eastAsia="zh-CN"/>
        </w:rPr>
        <w:t xml:space="preserve"> 一、2020年国民经济和社会发展计划执行情况</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2020年以来，面对突如其来的新冠肺炎疫情，市人民政府全面贯彻落实以习近平同志为核心的党中央关于统筹常态化疫情防控和经济社会发展的决策部署，贯彻落实自治区党委“1+3”工作部署和自治州党委系列要求，紧扣全面建成小康社会目标任务，扎实做好“六稳”工作，全面落实“六保”任务，千方百计克服疫情影响，确保经济平稳向好发展。</w:t>
      </w:r>
      <w:r>
        <w:rPr>
          <w:rFonts w:hint="default" w:ascii="Times New Roman" w:hAnsi="Times New Roman" w:eastAsia="仿宋_GB2312" w:cs="Times New Roman"/>
          <w:b/>
          <w:bCs/>
          <w:color w:val="auto"/>
          <w:sz w:val="32"/>
          <w:szCs w:val="32"/>
          <w:lang w:val="en-US" w:eastAsia="zh-CN"/>
        </w:rPr>
        <w:t>全年地区生产总值</w:t>
      </w:r>
      <w:r>
        <w:rPr>
          <w:rFonts w:hint="default" w:ascii="Times New Roman" w:hAnsi="Times New Roman" w:eastAsia="仿宋_GB2312" w:cs="Times New Roman"/>
          <w:b w:val="0"/>
          <w:bCs w:val="0"/>
          <w:color w:val="auto"/>
          <w:sz w:val="32"/>
          <w:szCs w:val="32"/>
          <w:lang w:val="en-US" w:eastAsia="zh-CN"/>
        </w:rPr>
        <w:t>实现66.56亿元，同比增长2.5%；</w:t>
      </w:r>
      <w:r>
        <w:rPr>
          <w:rFonts w:hint="default" w:ascii="Times New Roman" w:hAnsi="Times New Roman" w:eastAsia="仿宋_GB2312" w:cs="Times New Roman"/>
          <w:b/>
          <w:bCs/>
          <w:color w:val="auto"/>
          <w:sz w:val="32"/>
          <w:szCs w:val="32"/>
          <w:lang w:val="en-US" w:eastAsia="zh-CN"/>
        </w:rPr>
        <w:t>全社会固定资产投资</w:t>
      </w:r>
      <w:r>
        <w:rPr>
          <w:rFonts w:hint="default" w:ascii="Times New Roman" w:hAnsi="Times New Roman" w:eastAsia="仿宋_GB2312" w:cs="Times New Roman"/>
          <w:b w:val="0"/>
          <w:bCs w:val="0"/>
          <w:color w:val="auto"/>
          <w:sz w:val="32"/>
          <w:szCs w:val="32"/>
          <w:lang w:val="en-US" w:eastAsia="zh-CN"/>
        </w:rPr>
        <w:t>预计达到36.1亿元，同比增长83.6%；</w:t>
      </w:r>
      <w:r>
        <w:rPr>
          <w:rFonts w:hint="default" w:ascii="Times New Roman" w:hAnsi="Times New Roman" w:eastAsia="仿宋_GB2312" w:cs="Times New Roman"/>
          <w:b/>
          <w:bCs/>
          <w:color w:val="auto"/>
          <w:sz w:val="32"/>
          <w:szCs w:val="32"/>
          <w:lang w:val="en-US" w:eastAsia="zh-CN"/>
        </w:rPr>
        <w:t>公共财政预算收入</w:t>
      </w:r>
      <w:r>
        <w:rPr>
          <w:rFonts w:hint="default" w:ascii="Times New Roman" w:hAnsi="Times New Roman" w:eastAsia="仿宋_GB2312" w:cs="Times New Roman"/>
          <w:b w:val="0"/>
          <w:bCs w:val="0"/>
          <w:color w:val="auto"/>
          <w:sz w:val="32"/>
          <w:szCs w:val="32"/>
          <w:lang w:val="en-US" w:eastAsia="zh-CN"/>
        </w:rPr>
        <w:t>预计达到4.4亿元，同比增长6.1%；</w:t>
      </w:r>
      <w:r>
        <w:rPr>
          <w:rFonts w:hint="default" w:ascii="Times New Roman" w:hAnsi="Times New Roman" w:eastAsia="仿宋_GB2312" w:cs="Times New Roman"/>
          <w:b/>
          <w:bCs/>
          <w:color w:val="auto"/>
          <w:sz w:val="32"/>
          <w:szCs w:val="32"/>
          <w:lang w:val="en-US" w:eastAsia="zh-CN"/>
        </w:rPr>
        <w:t>社会消费品零售总额</w:t>
      </w:r>
      <w:r>
        <w:rPr>
          <w:rFonts w:hint="default" w:ascii="Times New Roman" w:hAnsi="Times New Roman" w:eastAsia="仿宋_GB2312" w:cs="Times New Roman"/>
          <w:b w:val="0"/>
          <w:bCs w:val="0"/>
          <w:color w:val="auto"/>
          <w:sz w:val="32"/>
          <w:szCs w:val="32"/>
          <w:lang w:val="en-US" w:eastAsia="zh-CN"/>
        </w:rPr>
        <w:t>14.55亿元；</w:t>
      </w:r>
      <w:r>
        <w:rPr>
          <w:rFonts w:hint="default" w:ascii="Times New Roman" w:hAnsi="Times New Roman" w:eastAsia="仿宋_GB2312" w:cs="Times New Roman"/>
          <w:b/>
          <w:bCs/>
          <w:color w:val="auto"/>
          <w:sz w:val="32"/>
          <w:szCs w:val="32"/>
          <w:lang w:val="en-US" w:eastAsia="zh-CN"/>
        </w:rPr>
        <w:t>招商引资到位资金</w:t>
      </w:r>
      <w:r>
        <w:rPr>
          <w:rFonts w:hint="default" w:ascii="Times New Roman" w:hAnsi="Times New Roman" w:eastAsia="仿宋_GB2312" w:cs="Times New Roman"/>
          <w:b w:val="0"/>
          <w:bCs w:val="0"/>
          <w:color w:val="auto"/>
          <w:sz w:val="32"/>
          <w:szCs w:val="32"/>
          <w:lang w:val="en-US" w:eastAsia="zh-CN"/>
        </w:rPr>
        <w:t>预计达到11.99亿元，同比增长9.0%；</w:t>
      </w:r>
      <w:r>
        <w:rPr>
          <w:rFonts w:hint="default" w:ascii="Times New Roman" w:hAnsi="Times New Roman" w:eastAsia="仿宋_GB2312" w:cs="Times New Roman"/>
          <w:b/>
          <w:bCs/>
          <w:color w:val="auto"/>
          <w:sz w:val="32"/>
          <w:szCs w:val="32"/>
          <w:lang w:val="en-US" w:eastAsia="zh-CN"/>
        </w:rPr>
        <w:t>城镇居民人均可支配收入</w:t>
      </w:r>
      <w:r>
        <w:rPr>
          <w:rFonts w:hint="default" w:ascii="Times New Roman" w:hAnsi="Times New Roman" w:eastAsia="仿宋_GB2312" w:cs="Times New Roman"/>
          <w:b w:val="0"/>
          <w:bCs w:val="0"/>
          <w:color w:val="auto"/>
          <w:sz w:val="32"/>
          <w:szCs w:val="32"/>
          <w:lang w:val="en-US" w:eastAsia="zh-CN"/>
        </w:rPr>
        <w:t>预计达到30024元，同比增长4.8%；</w:t>
      </w:r>
      <w:r>
        <w:rPr>
          <w:rFonts w:hint="default" w:ascii="Times New Roman" w:hAnsi="Times New Roman" w:eastAsia="仿宋_GB2312" w:cs="Times New Roman"/>
          <w:b/>
          <w:bCs/>
          <w:color w:val="auto"/>
          <w:sz w:val="32"/>
          <w:szCs w:val="32"/>
          <w:lang w:val="en-US" w:eastAsia="zh-CN"/>
        </w:rPr>
        <w:t>农牧民人均纯收入</w:t>
      </w:r>
      <w:r>
        <w:rPr>
          <w:rFonts w:hint="default" w:ascii="Times New Roman" w:hAnsi="Times New Roman" w:eastAsia="仿宋_GB2312" w:cs="Times New Roman"/>
          <w:b w:val="0"/>
          <w:bCs w:val="0"/>
          <w:color w:val="auto"/>
          <w:sz w:val="32"/>
          <w:szCs w:val="32"/>
          <w:lang w:val="en-US" w:eastAsia="zh-CN"/>
        </w:rPr>
        <w:t>预计达到10808元，同比增长10.4%</w:t>
      </w:r>
      <w:r>
        <w:rPr>
          <w:rFonts w:hint="eastAsia" w:cs="Times New Roman"/>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_GB2312" w:cs="Times New Roman"/>
          <w:b/>
          <w:bCs/>
          <w:color w:val="auto"/>
          <w:sz w:val="32"/>
          <w:szCs w:val="32"/>
          <w:lang w:val="en-US" w:eastAsia="zh-CN"/>
        </w:rPr>
        <w:t>（一）经济结构不断优化，三次产业协调发展。</w:t>
      </w:r>
      <w:r>
        <w:rPr>
          <w:rFonts w:hint="default" w:ascii="Times New Roman" w:hAnsi="Times New Roman" w:eastAsia="仿宋_GB2312" w:cs="Times New Roman"/>
          <w:b w:val="0"/>
          <w:bCs w:val="0"/>
          <w:color w:val="auto"/>
          <w:sz w:val="32"/>
          <w:szCs w:val="32"/>
          <w:lang w:val="en-US" w:eastAsia="zh-CN"/>
        </w:rPr>
        <w:t>坚持抓住重点、精准施策、消除影响，推动三次产业转型升级、提质增效。农牧业现代化稳步推进。持续深化农业供给侧结构性改革，坚持“宜粮则粮、宜棉则棉、宜畜则畜、宜果则果”，推进稳粮、优棉、促畜、强果、兴特色稳步发展，全力助推农林牧提质增效，农村经济综合实力显著增强。2020年粮棉播种面积达36.4万亩、总产达到13.22万吨；牲畜存栏54.04万头（只）、家禽存栏51万羽，规模化养殖场（小区）68个、农牧民养殖专业合作社150家，林果种植面积达到14万亩，特色林果产值约4亿元。新型工业化势头强劲。坚定不移深入实施“工业强市”战略，产业承载力、要素聚集力、经济辐射力大幅提升。全力推进复工复产。严格落实县级领导包联企业机制，先后派驻97名驻厂员，指导企业落实“五统一”防控措施，规模以上企业复工复产率达100%，工业经济稳中向好。全面优化营商环境。严格落实中央、自治区、自治州系列纾困惠企政策，为企业、个体工商户减免税费、房租、用电、社保等费用8221.23万元，发放稳岗创业就业补贴1186万元，协调各金融机构发放贷款7.09亿元，不断激发市场活力，增强发展内生动力。第三产业持续成为经济发展的主要动力。</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_GB2312" w:cs="Times New Roman"/>
          <w:b/>
          <w:bCs/>
          <w:color w:val="auto"/>
          <w:sz w:val="32"/>
          <w:szCs w:val="32"/>
          <w:lang w:val="en-US" w:eastAsia="zh-CN"/>
        </w:rPr>
        <w:t>（二）扎实推进重点项目建设，有效投资稳步增长。</w:t>
      </w:r>
      <w:r>
        <w:rPr>
          <w:rFonts w:hint="default" w:ascii="Times New Roman" w:hAnsi="Times New Roman" w:eastAsia="仿宋_GB2312" w:cs="Times New Roman"/>
          <w:b w:val="0"/>
          <w:bCs w:val="0"/>
          <w:color w:val="auto"/>
          <w:sz w:val="32"/>
          <w:szCs w:val="32"/>
          <w:lang w:val="en-US" w:eastAsia="zh-CN"/>
        </w:rPr>
        <w:t>发挥好有效投资在“稳中求进”中的关键作用，成立9个项目工作专班，倒排工期、挂牌督战、到点验收，有效确保项目有序推进。水利建设取得新成效，投资5.02亿元，实施农村安全饮水、中型灌区节水配套改造、托卡依水库除险加固等工程项目44个。农村公路建设取得新突破，投资4.86亿元，实施农村公路项目45个，农村道路硬化率达到100%，农村路网结构明显优化，建设管理水平明显提升，农村道路建设迈入快速发展时代。能源保障取得新进展，投资2.08亿元，加快推进上阿图什、松</w:t>
      </w:r>
      <w:r>
        <w:rPr>
          <w:rFonts w:hint="eastAsia" w:cs="Times New Roman"/>
          <w:b w:val="0"/>
          <w:bCs w:val="0"/>
          <w:color w:val="auto"/>
          <w:sz w:val="32"/>
          <w:szCs w:val="32"/>
          <w:lang w:val="en-US" w:eastAsia="zh-CN"/>
        </w:rPr>
        <w:t>他</w:t>
      </w:r>
      <w:r>
        <w:rPr>
          <w:rFonts w:hint="default" w:ascii="Times New Roman" w:hAnsi="Times New Roman" w:eastAsia="仿宋_GB2312" w:cs="Times New Roman"/>
          <w:b w:val="0"/>
          <w:bCs w:val="0"/>
          <w:color w:val="auto"/>
          <w:sz w:val="32"/>
          <w:szCs w:val="32"/>
          <w:lang w:val="en-US" w:eastAsia="zh-CN"/>
        </w:rPr>
        <w:t>克110千伏等一批输变电工程建设。实施电网改造、农村“煤改电”工程15426户，农牧民用电、用气、供暖条件明显改善。</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_GB2312" w:cs="Times New Roman"/>
          <w:b/>
          <w:bCs/>
          <w:color w:val="auto"/>
          <w:sz w:val="32"/>
          <w:szCs w:val="32"/>
          <w:lang w:val="en-US" w:eastAsia="zh-CN"/>
        </w:rPr>
        <w:t>（三）全力打赢脱贫攻坚战，决胜全面建成小康社会取得决定性成就。</w:t>
      </w:r>
      <w:r>
        <w:rPr>
          <w:rFonts w:hint="default" w:ascii="Times New Roman" w:hAnsi="Times New Roman" w:eastAsia="仿宋_GB2312" w:cs="Times New Roman"/>
          <w:b w:val="0"/>
          <w:bCs w:val="0"/>
          <w:color w:val="auto"/>
          <w:sz w:val="32"/>
          <w:szCs w:val="32"/>
          <w:lang w:val="en-US" w:eastAsia="zh-CN"/>
        </w:rPr>
        <w:t>紧扣“两不愁、三保障”标准，落实“六个精准”“四个不摘”“八个不变”要求，推进“七个一批”“三个加大力度”，投资7.61亿元，实施产业发展基础设施建设等扶贫项目155个，顺利通过国家脱贫攻坚普查审核验收。</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_GB2312" w:cs="Times New Roman"/>
          <w:b/>
          <w:bCs/>
          <w:color w:val="auto"/>
          <w:sz w:val="32"/>
          <w:szCs w:val="32"/>
          <w:lang w:val="en-US" w:eastAsia="zh-CN"/>
        </w:rPr>
        <w:t>（四）深化重点领域改革，市场动力活力有效激发。</w:t>
      </w:r>
      <w:r>
        <w:rPr>
          <w:rFonts w:hint="default" w:ascii="Times New Roman" w:hAnsi="Times New Roman" w:eastAsia="仿宋_GB2312" w:cs="Times New Roman"/>
          <w:b w:val="0"/>
          <w:bCs w:val="0"/>
          <w:color w:val="auto"/>
          <w:sz w:val="32"/>
          <w:szCs w:val="32"/>
          <w:lang w:val="en-US" w:eastAsia="zh-CN"/>
        </w:rPr>
        <w:t>深入推进“放管服”改革，全面简化工作流程，创新服务方式，大力推进预约服务、延时服务、容缺受理和一次办、帮代办等便企利民举措，切实做到“一网通办、一次办好”，支持中小微企业和个体工商户发展壮大。加快“互联网＋政务服务”建设，充分发挥自治区一体化政务服务平台作用。大力精简投资审批、不动产登记、环评等重点领域事项办事流程，</w:t>
      </w:r>
      <w:r>
        <w:rPr>
          <w:rFonts w:hint="default" w:ascii="Times New Roman" w:hAnsi="Times New Roman" w:eastAsia="仿宋_GB2312" w:cs="Times New Roman"/>
          <w:b w:val="0"/>
          <w:bCs w:val="0"/>
          <w:color w:val="auto"/>
          <w:sz w:val="32"/>
          <w:szCs w:val="32"/>
          <w:lang w:val="zh-CN" w:eastAsia="zh-CN"/>
        </w:rPr>
        <w:t>提高办事效率，办理时限缩短到3至5个工作日，</w:t>
      </w:r>
      <w:r>
        <w:rPr>
          <w:rFonts w:hint="default" w:ascii="Times New Roman" w:hAnsi="Times New Roman" w:eastAsia="仿宋_GB2312" w:cs="Times New Roman"/>
          <w:b w:val="0"/>
          <w:bCs w:val="0"/>
          <w:color w:val="auto"/>
          <w:sz w:val="32"/>
          <w:szCs w:val="32"/>
          <w:lang w:val="en-US" w:eastAsia="zh-CN"/>
        </w:rPr>
        <w:t>压缩事项办理时限50%以上。全面实施“二十六证合一”“证照分离”等商事制度改革，强化审批事项全流程监管，自治区一体化政务服务平台全面推广，政务服务事项实现“马上办、网上办、就近办、一次办”，“最多跑一次”达97.83%，“一网通办”达98.37%，企业开办、施工许可、产权登记等办理时间明显压缩，办事效率不断提升，营商环境不断优化。</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_GB2312" w:cs="Times New Roman"/>
          <w:b/>
          <w:bCs/>
          <w:color w:val="auto"/>
          <w:sz w:val="32"/>
          <w:szCs w:val="32"/>
          <w:lang w:val="en-US" w:eastAsia="zh-CN"/>
        </w:rPr>
        <w:t>（五）加快推进丝绸之路经济带核心区重要门户建设。</w:t>
      </w:r>
      <w:r>
        <w:rPr>
          <w:rFonts w:hint="default" w:ascii="Times New Roman" w:hAnsi="Times New Roman" w:eastAsia="仿宋_GB2312" w:cs="Times New Roman"/>
          <w:b w:val="0"/>
          <w:bCs w:val="0"/>
          <w:color w:val="auto"/>
          <w:sz w:val="32"/>
          <w:szCs w:val="32"/>
          <w:lang w:val="en-US" w:eastAsia="zh-CN"/>
        </w:rPr>
        <w:t>认真落实国家《中巴经济走廊远景规划（2017-2030）》，依托政策、区位、资源优势，着力打造丝绸之路经济带核心区重要门户、中巴经济走廊重要节点城市和向西开放的桥头堡，培育壮大特色产业，新能源、新材料、电子元器件、纺织服装等产业快速发展，产品远销国内外。大力营造“重商、亲商、富商、安商、稳商”的浓厚氛围，累计实现招商引资到位资金11.99亿元。</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color w:val="auto"/>
          <w:sz w:val="32"/>
          <w:szCs w:val="32"/>
          <w:lang w:val="zh-CN" w:eastAsia="zh-CN"/>
        </w:rPr>
      </w:pPr>
      <w:r>
        <w:rPr>
          <w:rFonts w:hint="default" w:ascii="Times New Roman" w:hAnsi="Times New Roman" w:eastAsia="楷体_GB2312" w:cs="Times New Roman"/>
          <w:b/>
          <w:bCs/>
          <w:color w:val="auto"/>
          <w:sz w:val="32"/>
          <w:szCs w:val="32"/>
          <w:lang w:val="en-US" w:eastAsia="zh-CN"/>
        </w:rPr>
        <w:t>（六）生态文明建设稳步推进，污染防治成效明显。</w:t>
      </w:r>
      <w:r>
        <w:rPr>
          <w:rFonts w:hint="default" w:ascii="Times New Roman" w:hAnsi="Times New Roman" w:eastAsia="仿宋_GB2312" w:cs="Times New Roman"/>
          <w:b w:val="0"/>
          <w:bCs w:val="0"/>
          <w:color w:val="auto"/>
          <w:sz w:val="32"/>
          <w:szCs w:val="32"/>
          <w:lang w:val="en-US" w:eastAsia="zh-CN"/>
        </w:rPr>
        <w:t>自觉践行“绿水青山就是金山银山”的理念，严格落实“三个坚决不上”“四个不予审批”，实行最严格的生态保护制度、空间用途管制制度、水资源管理制度，坚决守住生态保护红线，坚决杜绝“三高”项目进阿图什，持续在打赢蓝天、碧水、净土保卫战和农业农村污染治理攻坚战上下功夫。严格落实河（湖）长制，扎实做好饮用水水源地环境保护，主要河流、城镇集中式饮用水水源地水质达标率均为100%，阿图什市环境空气质量一、二级优良天数占总天数的64.6%，同比上升4.7%。</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_GB2312" w:cs="Times New Roman"/>
          <w:b/>
          <w:bCs/>
          <w:color w:val="0000FF"/>
          <w:sz w:val="32"/>
          <w:szCs w:val="32"/>
          <w:lang w:val="en-US" w:eastAsia="zh-CN"/>
        </w:rPr>
        <w:t>（七）交往交流交融持续深入，对口援疆成效显著。</w:t>
      </w:r>
      <w:r>
        <w:rPr>
          <w:rFonts w:hint="default" w:ascii="Times New Roman" w:hAnsi="Times New Roman" w:eastAsia="仿宋_GB2312" w:cs="Times New Roman"/>
          <w:b w:val="0"/>
          <w:bCs w:val="0"/>
          <w:color w:val="auto"/>
          <w:sz w:val="32"/>
          <w:szCs w:val="32"/>
          <w:lang w:val="en-US" w:eastAsia="zh-CN"/>
        </w:rPr>
        <w:t>认真贯彻落实第六、七次全国对口支援新疆工作会议精神，充分发挥主体作用，全力做好援疆工作协调、服务保障、民生援疆、产业援疆、经济援疆、干部人才援疆、教育援疆等各项工作稳步推进。投入2.64亿元援疆资金，实施5大类21个项目已完成，并逐步投入使用。</w:t>
      </w:r>
      <w:r>
        <w:rPr>
          <w:rFonts w:hint="default" w:ascii="Times New Roman" w:hAnsi="Times New Roman" w:eastAsia="仿宋_GB2312" w:cs="Times New Roman"/>
          <w:b w:val="0"/>
          <w:bCs w:val="0"/>
          <w:color w:val="auto"/>
          <w:sz w:val="32"/>
          <w:szCs w:val="32"/>
          <w:lang w:val="zh-CN" w:eastAsia="zh-CN"/>
        </w:rPr>
        <w:t>启动“十四五”规划编制工作。结合“十三五”规划执行情况，深入调查研究，全面启动全市“十四五”规划编制工作，科学谋划好重大工程项目、重大政策、重大改革举措，同步部署、同步谋划，为未来一个时期发展谋好篇、布好局</w:t>
      </w:r>
      <w:r>
        <w:rPr>
          <w:rFonts w:hint="default" w:ascii="Times New Roman" w:hAnsi="Times New Roman" w:eastAsia="仿宋_GB2312" w:cs="Times New Roman"/>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color w:val="auto"/>
          <w:sz w:val="32"/>
          <w:szCs w:val="32"/>
          <w:lang w:val="zh-CN" w:eastAsia="zh-CN"/>
        </w:rPr>
      </w:pPr>
      <w:r>
        <w:rPr>
          <w:rFonts w:hint="default" w:ascii="Times New Roman" w:hAnsi="Times New Roman" w:eastAsia="楷体_GB2312" w:cs="Times New Roman"/>
          <w:b/>
          <w:bCs/>
          <w:color w:val="auto"/>
          <w:sz w:val="32"/>
          <w:szCs w:val="32"/>
          <w:lang w:val="zh-CN" w:eastAsia="zh-CN"/>
        </w:rPr>
        <w:t>（</w:t>
      </w:r>
      <w:r>
        <w:rPr>
          <w:rFonts w:hint="default" w:ascii="Times New Roman" w:hAnsi="Times New Roman" w:eastAsia="楷体_GB2312" w:cs="Times New Roman"/>
          <w:b/>
          <w:bCs/>
          <w:color w:val="auto"/>
          <w:sz w:val="32"/>
          <w:szCs w:val="32"/>
          <w:lang w:val="en-US" w:eastAsia="zh-CN"/>
        </w:rPr>
        <w:t>八</w:t>
      </w:r>
      <w:r>
        <w:rPr>
          <w:rFonts w:hint="default" w:ascii="Times New Roman" w:hAnsi="Times New Roman" w:eastAsia="楷体_GB2312" w:cs="Times New Roman"/>
          <w:b/>
          <w:bCs/>
          <w:color w:val="auto"/>
          <w:sz w:val="32"/>
          <w:szCs w:val="32"/>
          <w:lang w:val="zh-CN" w:eastAsia="zh-CN"/>
        </w:rPr>
        <w:t>）</w:t>
      </w:r>
      <w:r>
        <w:rPr>
          <w:rFonts w:hint="default" w:ascii="Times New Roman" w:hAnsi="Times New Roman" w:eastAsia="楷体_GB2312" w:cs="Times New Roman"/>
          <w:b/>
          <w:bCs/>
          <w:color w:val="auto"/>
          <w:sz w:val="32"/>
          <w:szCs w:val="32"/>
          <w:lang w:val="en-US" w:eastAsia="zh-CN"/>
        </w:rPr>
        <w:t>改善民生福祉，各族群众获得感、幸福感和安全感不断增强。</w:t>
      </w:r>
      <w:r>
        <w:rPr>
          <w:rFonts w:hint="default" w:ascii="Times New Roman" w:hAnsi="Times New Roman" w:eastAsia="仿宋_GB2312" w:cs="Times New Roman"/>
          <w:b w:val="0"/>
          <w:bCs w:val="0"/>
          <w:color w:val="auto"/>
          <w:sz w:val="32"/>
          <w:szCs w:val="32"/>
          <w:lang w:val="en-US" w:eastAsia="zh-CN"/>
        </w:rPr>
        <w:t>始终坚持以人民为中心的发展理念，时刻把群众的安危冷暖放在心上，持续推进就业、教育、医疗、社保等惠民工程，让各族群众切身感受到党和政府的关怀与温暖。教育更加公平普惠。加快优质教育均衡发展步伐，不断改善办学条件，实施了阿湖乡中学综合教学楼、第十七幼儿园建设项目、上阿图什镇教师周转宿舍等8个项目，投资2.1亿元，完善教学基础设施，优化教育环境。卫生服务更加便捷高效。加强医疗卫生人才队伍和基础设施建设，推动城乡基本医疗卫生服务均衡发展。推进疫苗接种工作，乙肝、脊灰等9种常规疫苗累计报告接种率均达到95%以上；社会保障体系更加完善。大力推进养老服务机构和社区养老服务设施建设，敬老院等一大批民生福祉项目相继建成使用，城乡养老服务设施覆盖率达到82%，城乡居民基本医疗保险、养老保险参保率均达到98.5%以上</w:t>
      </w:r>
      <w:r>
        <w:rPr>
          <w:rFonts w:hint="eastAsia"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安全惠民力度不断加大。坚持“党政同责、一岗双责、齐抓共管、失职追责”，严格落实安全生产责任制，应急管理体系不断完善，专项整治力度不断加大，防灾减灾救灾能力显著提升，食品药品监管不断强化，食品药品安全监管力度不断强化，各族群众饮食用药安全得到有效保障。</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在看到成绩的同时，我们也清醒地认识到，经济社会发展还存在一些问题。突出表现为：</w:t>
      </w:r>
      <w:r>
        <w:rPr>
          <w:rFonts w:hint="default" w:ascii="Times New Roman" w:hAnsi="Times New Roman" w:eastAsia="仿宋_GB2312" w:cs="Times New Roman"/>
          <w:b/>
          <w:bCs/>
          <w:color w:val="auto"/>
          <w:sz w:val="32"/>
          <w:szCs w:val="32"/>
          <w:lang w:val="en-US" w:eastAsia="zh-CN"/>
        </w:rPr>
        <w:t>一是</w:t>
      </w:r>
      <w:r>
        <w:rPr>
          <w:rFonts w:hint="default" w:ascii="Times New Roman" w:hAnsi="Times New Roman" w:eastAsia="仿宋_GB2312" w:cs="Times New Roman"/>
          <w:b w:val="0"/>
          <w:bCs w:val="0"/>
          <w:color w:val="auto"/>
          <w:sz w:val="32"/>
          <w:szCs w:val="32"/>
          <w:lang w:val="en-US" w:eastAsia="zh-CN"/>
        </w:rPr>
        <w:t>产业发展相对滞后，结构不尽合理，新兴产业发展动力不足。</w:t>
      </w:r>
      <w:r>
        <w:rPr>
          <w:rFonts w:hint="default" w:ascii="Times New Roman" w:hAnsi="Times New Roman" w:eastAsia="仿宋_GB2312" w:cs="Times New Roman"/>
          <w:b/>
          <w:bCs/>
          <w:color w:val="auto"/>
          <w:sz w:val="32"/>
          <w:szCs w:val="32"/>
          <w:lang w:val="en-US" w:eastAsia="zh-CN"/>
        </w:rPr>
        <w:t>二是</w:t>
      </w:r>
      <w:r>
        <w:rPr>
          <w:rFonts w:hint="default" w:ascii="Times New Roman" w:hAnsi="Times New Roman" w:eastAsia="仿宋_GB2312" w:cs="Times New Roman"/>
          <w:b w:val="0"/>
          <w:bCs w:val="0"/>
          <w:color w:val="auto"/>
          <w:sz w:val="32"/>
          <w:szCs w:val="32"/>
          <w:lang w:val="en-US" w:eastAsia="zh-CN"/>
        </w:rPr>
        <w:t>城镇基础设施仍需提质升级，农村基础设施需持续巩固提升。</w:t>
      </w:r>
      <w:r>
        <w:rPr>
          <w:rFonts w:hint="default" w:ascii="Times New Roman" w:hAnsi="Times New Roman" w:eastAsia="仿宋_GB2312" w:cs="Times New Roman"/>
          <w:b/>
          <w:bCs/>
          <w:color w:val="auto"/>
          <w:sz w:val="32"/>
          <w:szCs w:val="32"/>
          <w:lang w:val="en-US" w:eastAsia="zh-CN"/>
        </w:rPr>
        <w:t>三是</w:t>
      </w:r>
      <w:r>
        <w:rPr>
          <w:rFonts w:hint="default" w:ascii="Times New Roman" w:hAnsi="Times New Roman" w:eastAsia="仿宋_GB2312" w:cs="Times New Roman"/>
          <w:b w:val="0"/>
          <w:bCs w:val="0"/>
          <w:color w:val="auto"/>
          <w:sz w:val="32"/>
          <w:szCs w:val="32"/>
          <w:lang w:val="en-US" w:eastAsia="zh-CN"/>
        </w:rPr>
        <w:t>疫情冲击导致的各类衍生风险不容忽视，旅游业、餐饮服务业、消费市场受冲击影响较大，做好“六稳”“六保”工作仍需持续用力。</w:t>
      </w:r>
      <w:r>
        <w:rPr>
          <w:rFonts w:hint="default" w:ascii="Times New Roman" w:hAnsi="Times New Roman" w:eastAsia="仿宋_GB2312" w:cs="Times New Roman"/>
          <w:b/>
          <w:bCs/>
          <w:color w:val="auto"/>
          <w:sz w:val="32"/>
          <w:szCs w:val="32"/>
          <w:lang w:val="en-US" w:eastAsia="zh-CN"/>
        </w:rPr>
        <w:t>四是</w:t>
      </w:r>
      <w:r>
        <w:rPr>
          <w:rFonts w:hint="default" w:ascii="Times New Roman" w:hAnsi="Times New Roman" w:eastAsia="仿宋_GB2312" w:cs="Times New Roman"/>
          <w:b w:val="0"/>
          <w:bCs w:val="0"/>
          <w:color w:val="auto"/>
          <w:sz w:val="32"/>
          <w:szCs w:val="32"/>
          <w:lang w:val="en-US" w:eastAsia="zh-CN"/>
        </w:rPr>
        <w:t>有效市场与有为政府结合还不够紧密，营商环境仍需持续优化，“放管服”改革仍需不断深化，企业、群众办事“多地跑、折返跑”现象依然存在。这些问题和不足，我们将在今后的工作中高度重视，采取有力措施，认真加以解决。</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right="0" w:rightChars="0" w:firstLine="640" w:firstLineChars="200"/>
        <w:jc w:val="both"/>
        <w:textAlignment w:val="auto"/>
        <w:outlineLvl w:val="9"/>
        <w:rPr>
          <w:rFonts w:hint="default" w:ascii="Times New Roman" w:hAnsi="Times New Roman" w:eastAsia="黑体" w:cs="Times New Roman"/>
          <w:b w:val="0"/>
          <w:bCs w:val="0"/>
          <w:snapToGrid w:val="0"/>
          <w:color w:val="auto"/>
          <w:kern w:val="0"/>
          <w:sz w:val="32"/>
          <w:szCs w:val="32"/>
          <w:lang w:val="en-US" w:eastAsia="zh-CN"/>
        </w:rPr>
      </w:pPr>
      <w:r>
        <w:rPr>
          <w:rFonts w:hint="default" w:ascii="Times New Roman" w:hAnsi="Times New Roman" w:eastAsia="黑体" w:cs="Times New Roman"/>
          <w:b w:val="0"/>
          <w:bCs w:val="0"/>
          <w:snapToGrid w:val="0"/>
          <w:color w:val="auto"/>
          <w:kern w:val="0"/>
          <w:sz w:val="32"/>
          <w:szCs w:val="32"/>
          <w:lang w:val="en-US" w:eastAsia="zh-CN"/>
        </w:rPr>
        <w:t>二、2021年国民经济和社会发展工作计划</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2021年是中国共产党成立100周年，是开启全面建设社会主义现代化国家新征程起步之年，是“十四五”规划开局之年，做好今年经济工作意义十分重大，我们将始终坚持以习近平新时代中国特色社会主义思想为指导，深入贯彻党的十九大和十九届二中、三中、四中、五中全会精神，贯彻落实中央经济工作会议和第三次中央新疆工作座谈会精神，贯彻落实自治区党委九届十次、十一次全会和经济工作会议精神，贯彻落实自治州党委十届八次全会和经济工作会议精神，完整准确贯彻新时代党的治疆方略，坚持依法治疆、团结稳疆、文化润疆、富民兴疆、长期建疆，坚持稳中求进工作总基调，以推动高质量发展为主题，以深化供给侧结构性改革为主线，立足新发展阶段，贯彻新发展理念，以改革创新为根本动力，以满足人民日益增长的美好生活需要为根本目的，坚持系统观念，巩固拓展疫情防控和经济社会发展成果，更好统筹发展和安全，扎实做好“六稳”工作、全面落实“六保”任务，保持经济运行在合理区间，确保“十四五”开好局、起好步。</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2021年经济社会发展的主要预期目标是：</w:t>
      </w:r>
      <w:r>
        <w:rPr>
          <w:rFonts w:hint="default" w:ascii="Times New Roman" w:hAnsi="Times New Roman" w:eastAsia="仿宋_GB2312" w:cs="Times New Roman"/>
          <w:b/>
          <w:bCs/>
          <w:color w:val="auto"/>
          <w:sz w:val="32"/>
          <w:szCs w:val="32"/>
          <w:lang w:val="en-US" w:eastAsia="zh-CN"/>
        </w:rPr>
        <w:t>地区生产总值</w:t>
      </w:r>
      <w:r>
        <w:rPr>
          <w:rFonts w:hint="default" w:ascii="Times New Roman" w:hAnsi="Times New Roman" w:eastAsia="仿宋_GB2312" w:cs="Times New Roman"/>
          <w:b w:val="0"/>
          <w:bCs w:val="0"/>
          <w:color w:val="auto"/>
          <w:sz w:val="32"/>
          <w:szCs w:val="32"/>
          <w:lang w:val="en-US" w:eastAsia="zh-CN"/>
        </w:rPr>
        <w:t>增长8.5%以上；</w:t>
      </w:r>
      <w:r>
        <w:rPr>
          <w:rFonts w:hint="default" w:ascii="Times New Roman" w:hAnsi="Times New Roman" w:eastAsia="仿宋_GB2312" w:cs="Times New Roman"/>
          <w:b/>
          <w:bCs/>
          <w:color w:val="auto"/>
          <w:sz w:val="32"/>
          <w:szCs w:val="32"/>
          <w:lang w:val="en-US" w:eastAsia="zh-CN"/>
        </w:rPr>
        <w:t>全社会固定资产投资</w:t>
      </w:r>
      <w:r>
        <w:rPr>
          <w:rFonts w:hint="default" w:ascii="Times New Roman" w:hAnsi="Times New Roman" w:eastAsia="仿宋_GB2312" w:cs="Times New Roman"/>
          <w:b w:val="0"/>
          <w:bCs w:val="0"/>
          <w:color w:val="auto"/>
          <w:sz w:val="32"/>
          <w:szCs w:val="32"/>
          <w:lang w:val="en-US" w:eastAsia="zh-CN"/>
        </w:rPr>
        <w:t>增长30%左右；</w:t>
      </w:r>
      <w:r>
        <w:rPr>
          <w:rFonts w:hint="default" w:ascii="Times New Roman" w:hAnsi="Times New Roman" w:eastAsia="仿宋_GB2312" w:cs="Times New Roman"/>
          <w:b/>
          <w:bCs/>
          <w:color w:val="auto"/>
          <w:sz w:val="32"/>
          <w:szCs w:val="32"/>
          <w:lang w:val="en-US" w:eastAsia="zh-CN"/>
        </w:rPr>
        <w:t>公共财政预算收入</w:t>
      </w:r>
      <w:r>
        <w:rPr>
          <w:rFonts w:hint="default" w:ascii="Times New Roman" w:hAnsi="Times New Roman" w:eastAsia="仿宋_GB2312" w:cs="Times New Roman"/>
          <w:b w:val="0"/>
          <w:bCs w:val="0"/>
          <w:color w:val="auto"/>
          <w:sz w:val="32"/>
          <w:szCs w:val="32"/>
          <w:lang w:val="en-US" w:eastAsia="zh-CN"/>
        </w:rPr>
        <w:t>增长9%左右；</w:t>
      </w:r>
      <w:r>
        <w:rPr>
          <w:rFonts w:hint="default" w:ascii="Times New Roman" w:hAnsi="Times New Roman" w:eastAsia="仿宋_GB2312" w:cs="Times New Roman"/>
          <w:b/>
          <w:bCs/>
          <w:color w:val="auto"/>
          <w:sz w:val="32"/>
          <w:szCs w:val="32"/>
          <w:lang w:val="en-US" w:eastAsia="zh-CN"/>
        </w:rPr>
        <w:t>社会消费品零售总额</w:t>
      </w:r>
      <w:r>
        <w:rPr>
          <w:rFonts w:hint="default" w:ascii="Times New Roman" w:hAnsi="Times New Roman" w:eastAsia="仿宋_GB2312" w:cs="Times New Roman"/>
          <w:b w:val="0"/>
          <w:bCs w:val="0"/>
          <w:color w:val="auto"/>
          <w:sz w:val="32"/>
          <w:szCs w:val="32"/>
          <w:lang w:val="en-US" w:eastAsia="zh-CN"/>
        </w:rPr>
        <w:t>增长8%左右；</w:t>
      </w:r>
      <w:r>
        <w:rPr>
          <w:rFonts w:hint="default" w:ascii="Times New Roman" w:hAnsi="Times New Roman" w:eastAsia="仿宋_GB2312" w:cs="Times New Roman"/>
          <w:b/>
          <w:bCs/>
          <w:color w:val="auto"/>
          <w:sz w:val="32"/>
          <w:szCs w:val="32"/>
          <w:lang w:val="en-US" w:eastAsia="zh-CN"/>
        </w:rPr>
        <w:t>招商引资到位资金</w:t>
      </w:r>
      <w:r>
        <w:rPr>
          <w:rFonts w:hint="default" w:ascii="Times New Roman" w:hAnsi="Times New Roman" w:eastAsia="仿宋_GB2312" w:cs="Times New Roman"/>
          <w:b w:val="0"/>
          <w:bCs w:val="0"/>
          <w:color w:val="auto"/>
          <w:sz w:val="32"/>
          <w:szCs w:val="32"/>
          <w:lang w:val="en-US" w:eastAsia="zh-CN"/>
        </w:rPr>
        <w:t>增长15%左右；</w:t>
      </w:r>
      <w:r>
        <w:rPr>
          <w:rFonts w:hint="default" w:ascii="Times New Roman" w:hAnsi="Times New Roman" w:eastAsia="仿宋_GB2312" w:cs="Times New Roman"/>
          <w:b/>
          <w:bCs/>
          <w:color w:val="auto"/>
          <w:sz w:val="32"/>
          <w:szCs w:val="32"/>
          <w:lang w:val="en-US" w:eastAsia="zh-CN"/>
        </w:rPr>
        <w:t>城镇居民人均可支配收入</w:t>
      </w:r>
      <w:r>
        <w:rPr>
          <w:rFonts w:hint="default" w:ascii="Times New Roman" w:hAnsi="Times New Roman" w:eastAsia="仿宋_GB2312" w:cs="Times New Roman"/>
          <w:b w:val="0"/>
          <w:bCs w:val="0"/>
          <w:color w:val="auto"/>
          <w:sz w:val="32"/>
          <w:szCs w:val="32"/>
          <w:lang w:val="en-US" w:eastAsia="zh-CN"/>
        </w:rPr>
        <w:t>增长8%以上；</w:t>
      </w:r>
      <w:r>
        <w:rPr>
          <w:rFonts w:hint="default" w:ascii="Times New Roman" w:hAnsi="Times New Roman" w:eastAsia="仿宋_GB2312" w:cs="Times New Roman"/>
          <w:b/>
          <w:bCs/>
          <w:color w:val="auto"/>
          <w:sz w:val="32"/>
          <w:szCs w:val="32"/>
          <w:lang w:val="en-US" w:eastAsia="zh-CN"/>
        </w:rPr>
        <w:t>农牧民人均纯收入</w:t>
      </w:r>
      <w:r>
        <w:rPr>
          <w:rFonts w:hint="default" w:ascii="Times New Roman" w:hAnsi="Times New Roman" w:eastAsia="仿宋_GB2312" w:cs="Times New Roman"/>
          <w:b w:val="0"/>
          <w:bCs w:val="0"/>
          <w:color w:val="auto"/>
          <w:sz w:val="32"/>
          <w:szCs w:val="32"/>
          <w:lang w:val="en-US" w:eastAsia="zh-CN"/>
        </w:rPr>
        <w:t>增长11%以上</w:t>
      </w:r>
      <w:r>
        <w:rPr>
          <w:rFonts w:hint="eastAsia"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实现上述目标任务，我们要着重抓好以下工作：</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_GB2312" w:cs="Times New Roman"/>
          <w:b/>
          <w:bCs/>
          <w:color w:val="auto"/>
          <w:sz w:val="32"/>
          <w:szCs w:val="32"/>
          <w:lang w:val="en-US" w:eastAsia="zh-CN"/>
        </w:rPr>
        <w:t>（一）持续巩固防控成果，统筹推进常态化疫情防控和经济社会发展。</w:t>
      </w:r>
      <w:r>
        <w:rPr>
          <w:rFonts w:hint="default" w:ascii="Times New Roman" w:hAnsi="Times New Roman" w:eastAsia="仿宋_GB2312" w:cs="Times New Roman"/>
          <w:b w:val="0"/>
          <w:bCs w:val="0"/>
          <w:color w:val="auto"/>
          <w:sz w:val="32"/>
          <w:szCs w:val="32"/>
          <w:lang w:val="en-US" w:eastAsia="zh-CN"/>
        </w:rPr>
        <w:t>全面贯彻</w:t>
      </w:r>
      <w:r>
        <w:rPr>
          <w:rFonts w:hint="default" w:ascii="Times New Roman" w:hAnsi="Times New Roman" w:eastAsia="仿宋_GB2312" w:cs="Times New Roman"/>
          <w:b w:val="0"/>
          <w:bCs w:val="0"/>
          <w:color w:val="auto"/>
          <w:sz w:val="32"/>
          <w:szCs w:val="32"/>
          <w:lang w:val="zh-CN" w:eastAsia="zh-CN"/>
        </w:rPr>
        <w:t>“</w:t>
      </w:r>
      <w:r>
        <w:rPr>
          <w:rFonts w:hint="default" w:ascii="Times New Roman" w:hAnsi="Times New Roman" w:eastAsia="仿宋_GB2312" w:cs="Times New Roman"/>
          <w:b w:val="0"/>
          <w:bCs w:val="0"/>
          <w:color w:val="auto"/>
          <w:sz w:val="32"/>
          <w:szCs w:val="32"/>
          <w:lang w:val="en-US" w:eastAsia="zh-CN"/>
        </w:rPr>
        <w:t>坚定信心、同舟共济、科学防治、精准施策</w:t>
      </w:r>
      <w:r>
        <w:rPr>
          <w:rFonts w:hint="default" w:ascii="Times New Roman" w:hAnsi="Times New Roman" w:eastAsia="仿宋_GB2312" w:cs="Times New Roman"/>
          <w:b w:val="0"/>
          <w:bCs w:val="0"/>
          <w:color w:val="auto"/>
          <w:sz w:val="32"/>
          <w:szCs w:val="32"/>
          <w:lang w:val="zh-CN" w:eastAsia="zh-CN"/>
        </w:rPr>
        <w:t>”的总要求，</w:t>
      </w:r>
      <w:r>
        <w:rPr>
          <w:rFonts w:hint="default" w:ascii="Times New Roman" w:hAnsi="Times New Roman" w:eastAsia="仿宋_GB2312" w:cs="Times New Roman"/>
          <w:b w:val="0"/>
          <w:bCs w:val="0"/>
          <w:color w:val="auto"/>
          <w:sz w:val="32"/>
          <w:szCs w:val="32"/>
          <w:lang w:val="en-US" w:eastAsia="zh-CN"/>
        </w:rPr>
        <w:t>健全完善“八项监测预警机制”，落实“四早”措施，持续做好“4个打通”“10个抓好”，完善防控体系、提升防控能力，坚决巩固好来之不易的疫情防控成果。坚持稳中求进工作总基调，抓住机遇、转变方式、创新发展，确保主要经济指标符合预期，坚决打赢疫情防控和实现经济社会发展目标“双胜利”这场硬仗。</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_GB2312" w:cs="Times New Roman"/>
          <w:b/>
          <w:bCs/>
          <w:color w:val="auto"/>
          <w:sz w:val="32"/>
          <w:szCs w:val="32"/>
          <w:lang w:val="en-US" w:eastAsia="zh-CN"/>
        </w:rPr>
        <w:t>（二）贯彻新发展理念，推动一二三产业融合发展。</w:t>
      </w:r>
      <w:r>
        <w:rPr>
          <w:rFonts w:hint="default" w:ascii="Times New Roman" w:hAnsi="Times New Roman" w:eastAsia="仿宋_GB2312" w:cs="Times New Roman"/>
          <w:b w:val="0"/>
          <w:bCs w:val="0"/>
          <w:color w:val="auto"/>
          <w:sz w:val="32"/>
          <w:szCs w:val="32"/>
          <w:lang w:val="en-US" w:eastAsia="zh-CN"/>
        </w:rPr>
        <w:t>坚持一产上水平、二产抓重点、三产大发展，重点围绕金属采选冶、清洁能源、装备制造、纺织服装</w:t>
      </w:r>
      <w:r>
        <w:rPr>
          <w:rFonts w:hint="eastAsia" w:cs="Times New Roman"/>
          <w:b w:val="0"/>
          <w:bCs w:val="0"/>
          <w:color w:val="auto"/>
          <w:sz w:val="32"/>
          <w:szCs w:val="32"/>
          <w:lang w:val="en-US" w:eastAsia="zh-CN"/>
        </w:rPr>
        <w:t>等</w:t>
      </w:r>
      <w:r>
        <w:rPr>
          <w:rFonts w:hint="default" w:ascii="Times New Roman" w:hAnsi="Times New Roman" w:eastAsia="仿宋_GB2312" w:cs="Times New Roman"/>
          <w:b w:val="0"/>
          <w:bCs w:val="0"/>
          <w:color w:val="auto"/>
          <w:sz w:val="32"/>
          <w:szCs w:val="32"/>
          <w:lang w:val="en-US" w:eastAsia="zh-CN"/>
        </w:rPr>
        <w:t>“八大产业”，着力夯实产业基础。</w:t>
      </w:r>
      <w:r>
        <w:rPr>
          <w:rFonts w:hint="default" w:ascii="Times New Roman" w:hAnsi="Times New Roman" w:eastAsia="仿宋_GB2312" w:cs="Times New Roman"/>
          <w:b/>
          <w:bCs/>
          <w:color w:val="auto"/>
          <w:sz w:val="32"/>
          <w:szCs w:val="32"/>
          <w:lang w:val="en-US" w:eastAsia="zh-CN"/>
        </w:rPr>
        <w:t>一是</w:t>
      </w:r>
      <w:r>
        <w:rPr>
          <w:rFonts w:hint="default" w:ascii="Times New Roman" w:hAnsi="Times New Roman" w:eastAsia="仿宋_GB2312" w:cs="Times New Roman"/>
          <w:b w:val="0"/>
          <w:bCs w:val="0"/>
          <w:color w:val="auto"/>
          <w:sz w:val="32"/>
          <w:szCs w:val="32"/>
          <w:lang w:val="en-US" w:eastAsia="zh-CN"/>
        </w:rPr>
        <w:t>推进农村经济健康发展。按照“产业兴旺、生态宜居、乡风文明、治理有效、生活富裕”的总要求，紧紧围绕产业振兴、人才振兴、文化振兴、生态振兴、组织振兴，着力补齐农业农村发展短板，推动农牧业提质增效。严格落实“米袋子”“菜篮子”责任制，持续做好粮棉、蔬菜等农作物种植管理，大力实施高标准农田建设工程和种子工程，扎实做好7500亩冬小麦种子良繁基地建设；加快农田基础设施建设，计划投资1.36亿元，实施农业提质增效、香菇产业园、智能大棚、防渗渠等重点项目23个，规划建设高标准农田3万亩，持续提高农业生产规模化、机械化、产业化水平，不断推动农业高质量发展。</w:t>
      </w:r>
      <w:r>
        <w:rPr>
          <w:rFonts w:hint="eastAsia" w:cs="Times New Roman"/>
          <w:b/>
          <w:bCs/>
          <w:color w:val="auto"/>
          <w:sz w:val="32"/>
          <w:szCs w:val="32"/>
          <w:lang w:val="en-US" w:eastAsia="zh-CN"/>
        </w:rPr>
        <w:t>二</w:t>
      </w:r>
      <w:r>
        <w:rPr>
          <w:rFonts w:hint="default" w:ascii="Times New Roman" w:hAnsi="Times New Roman" w:eastAsia="仿宋_GB2312" w:cs="Times New Roman"/>
          <w:b/>
          <w:bCs/>
          <w:color w:val="auto"/>
          <w:sz w:val="32"/>
          <w:szCs w:val="32"/>
          <w:lang w:val="en-US" w:eastAsia="zh-CN"/>
        </w:rPr>
        <w:t>是</w:t>
      </w:r>
      <w:r>
        <w:rPr>
          <w:rFonts w:hint="default" w:ascii="Times New Roman" w:hAnsi="Times New Roman" w:eastAsia="仿宋_GB2312" w:cs="Times New Roman"/>
          <w:b w:val="0"/>
          <w:bCs w:val="0"/>
          <w:color w:val="auto"/>
          <w:sz w:val="32"/>
          <w:szCs w:val="32"/>
          <w:lang w:val="en-US" w:eastAsia="zh-CN"/>
        </w:rPr>
        <w:t>推动服务业做大做优。坚持扩大内需战略基点，加快新型消费基础设施建设，提升传统消费，培育新型消费，增强消费对经济发展的基础性作用；深入推进文化旅游融合发展，持续加强天门、怪柳林等景区基础设施建设，培育乡村旅游、乡村民宿、生态农业、休闲度假等新业态，着力打造上阿图什镇喀尔果勒村、松他克乡阿孜汗村、阿湖乡兰干村特色旅游乡村，不断提升景区景点吸引力和综合竞争力。持续加大旅游营销体系建设，围绕“吃、住、行、游、购、娱”六要素，重点在打造旅游产品、促进旅游消费、优化旅游环境等方面下功夫，提升旅游接待服务水平。</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_GB2312" w:cs="Times New Roman"/>
          <w:b/>
          <w:bCs/>
          <w:color w:val="auto"/>
          <w:sz w:val="32"/>
          <w:szCs w:val="32"/>
          <w:lang w:val="en-US" w:eastAsia="zh-CN"/>
        </w:rPr>
        <w:t>（三）推进项目落地见效，持续扩大有效投资。</w:t>
      </w:r>
      <w:r>
        <w:rPr>
          <w:rFonts w:hint="default" w:ascii="Times New Roman" w:hAnsi="Times New Roman" w:eastAsia="仿宋_GB2312" w:cs="Times New Roman"/>
          <w:b w:val="0"/>
          <w:bCs w:val="0"/>
          <w:color w:val="auto"/>
          <w:sz w:val="32"/>
          <w:szCs w:val="32"/>
          <w:lang w:val="en-US" w:eastAsia="zh-CN"/>
        </w:rPr>
        <w:t>紧紧抓住中央、自治区应对疫情影响支持项目建设、扩大有效投资和“十四五”规划的重大机遇，着重围绕城建、水利、交通、电力等关键领域，实施一批基础设施工程项目。加快新型城镇化建设。计划投资9.92亿元，持续推进公共停车场、供气设施、建筑垃圾处理、生活垃圾分解等项目建设，加快推进城镇垃圾处理、供排水一体化等项目建设进度，加快5G网络布局，进一步提升城市综合服务保障能力。加快水利设施建设。计划投资4.82亿元，实施布谷孜河南支流防洪坝，安全饮水主管道改扩建，吐古买提乡安全饮水水源改造等项目建设，全面完成托卡依水库除险加固工程。加快道路交通建设。计划投资3.2亿元，实施环城西路立交桥，140公里农村公路和72公里市政道路新建改建等项目建设，不断完善城乡交通网，全面推进城乡交通一体化进程。加快电力设施建设。投资1.76亿元，实施35千伏以上电网项目3个、农网升级改造项目82个，切实促进电网全面升级，有效保障群众用电需求。</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_GB2312" w:cs="Times New Roman"/>
          <w:b/>
          <w:bCs/>
          <w:color w:val="auto"/>
          <w:sz w:val="32"/>
          <w:szCs w:val="32"/>
          <w:lang w:val="en-US" w:eastAsia="zh-CN"/>
        </w:rPr>
        <w:t>（四）全力做好丝绸之路核心区重要门户建设。</w:t>
      </w:r>
      <w:r>
        <w:rPr>
          <w:rFonts w:hint="default" w:ascii="Times New Roman" w:hAnsi="Times New Roman" w:eastAsia="仿宋_GB2312" w:cs="Times New Roman"/>
          <w:b w:val="0"/>
          <w:bCs w:val="0"/>
          <w:color w:val="auto"/>
          <w:sz w:val="32"/>
          <w:szCs w:val="32"/>
          <w:lang w:val="en-US" w:eastAsia="zh-CN"/>
        </w:rPr>
        <w:t>依托丝绸之路经济带核心区建设，创新宏观调控思路和方式，构建全方位对外开放新格局，加快推进互联互通、国际物流大通道建设。不断加大招商引资推介力度，大力发展进出口资源加工企业、特色产业等外向型经济，主动承接东部沿海发达地区产业转移，积极吸引各类要素向阿图什汇聚、产业向阿图什转移，构建更大范围、更宽领域、更深层次的高水平开放新格局。</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_GB2312" w:cs="Times New Roman"/>
          <w:b/>
          <w:bCs/>
          <w:color w:val="auto"/>
          <w:sz w:val="32"/>
          <w:szCs w:val="32"/>
          <w:lang w:val="en-US" w:eastAsia="zh-CN"/>
        </w:rPr>
        <w:t>（五）持续巩固脱贫攻坚成果，大力实施乡村振兴战略。</w:t>
      </w:r>
      <w:r>
        <w:rPr>
          <w:rFonts w:hint="default" w:ascii="Times New Roman" w:hAnsi="Times New Roman" w:eastAsia="仿宋_GB2312" w:cs="Times New Roman"/>
          <w:b w:val="0"/>
          <w:bCs w:val="0"/>
          <w:color w:val="auto"/>
          <w:sz w:val="32"/>
          <w:szCs w:val="32"/>
          <w:lang w:val="en-US" w:eastAsia="zh-CN"/>
        </w:rPr>
        <w:t>按照“产业兴旺、生态宜居、乡风文明、治理有效、生活富裕”的总要求，紧紧围绕产业振兴、人才振兴、文化振兴、生态振兴、组织振兴，着力补齐农业农村发展短板，推动农牧业提质增效。坚持农业农村优先发展总方针，加快推进农业农村现代化。严格落实“四个不摘”“八个不变”要求，保持现有扶贫帮扶政策、资金支持、帮扶力量总体稳定，持续健全完善防止返贫监测预警和帮扶制度机制，强化易地扶贫搬迁后续扶持，扎实做好扶贫资产后期管护等工作，推进巩固脱贫成果同乡村振兴有效衔接。加强乡村建设，完善乡村水、电、路、气等基础设施。</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_GB2312" w:cs="Times New Roman"/>
          <w:b/>
          <w:bCs/>
          <w:color w:val="auto"/>
          <w:sz w:val="32"/>
          <w:szCs w:val="32"/>
          <w:lang w:val="en-US" w:eastAsia="zh-CN"/>
        </w:rPr>
        <w:t>（六）全力做好重点领域改革，进一步增强内生动力激发市场活力。</w:t>
      </w:r>
      <w:r>
        <w:rPr>
          <w:rFonts w:hint="default" w:ascii="Times New Roman" w:hAnsi="Times New Roman" w:eastAsia="仿宋_GB2312" w:cs="Times New Roman"/>
          <w:b w:val="0"/>
          <w:bCs w:val="0"/>
          <w:color w:val="auto"/>
          <w:sz w:val="32"/>
          <w:szCs w:val="32"/>
          <w:lang w:val="en-US" w:eastAsia="zh-CN"/>
        </w:rPr>
        <w:t>坚持改革和发展深度融合、高效联动，持续深化“放管服”改革，积极推进“最多跑一趟”“最快送一次”改革，全面落实政府权责清单制度，深入实施涉企经营许可事项清单管理，扎实开展营商环境专项整治，着力解决市场主体和群众办事“多地跑”“折返跑”问题，不断激发市场主体动力和活力，促进经济社会持续健康发展。持续落实减税降费、纾困惠企、稳岗就业等惠企政策，进一步降低企业负担，切实增强市场信心、社会信心、企业信心。积极主动做好国有资本授权经营体制改革、教育、医药卫生和户籍制度改革，全面完成农村集体产权制度改革任务。</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_GB2312" w:cs="Times New Roman"/>
          <w:b/>
          <w:bCs/>
          <w:color w:val="auto"/>
          <w:sz w:val="32"/>
          <w:szCs w:val="32"/>
          <w:lang w:val="en-US" w:eastAsia="zh-CN"/>
        </w:rPr>
        <w:t>（七）坚持绿色发展，全力加快生态文明建设。</w:t>
      </w:r>
      <w:r>
        <w:rPr>
          <w:rFonts w:hint="default" w:ascii="Times New Roman" w:hAnsi="Times New Roman" w:eastAsia="仿宋_GB2312" w:cs="Times New Roman"/>
          <w:b w:val="0"/>
          <w:bCs w:val="0"/>
          <w:color w:val="auto"/>
          <w:sz w:val="32"/>
          <w:szCs w:val="32"/>
          <w:lang w:val="en-US" w:eastAsia="zh-CN"/>
        </w:rPr>
        <w:t>牢固树立“绿水青山就是金山银山，冰天雪地也是金山银山”的理念，严把项目审批关，坚决做到“三个坚决不上”“四个不予审批”，严禁“三高”项目进阿图什，坚决守住生态保护红线、环境质量底线、资源利用红线，持续打好“蓝天、碧水、净土”保卫战和农业农村污染治理攻坚战。全面落实河（湖）长制，推进布谷孜河、恰克玛克河综合治理，强化中心城区污水处理厂规范化运行；推进乡镇污水管网建设，逐步提升污水收集水平；扎实推进集中式饮用水水源地专项整治，确保饮用水安全；实施好退耕还林、天然林保护、植树造林、补植补造等工程，确保生态环境质量持续向好。</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_GB2312" w:cs="Times New Roman"/>
          <w:b/>
          <w:bCs/>
          <w:color w:val="auto"/>
          <w:sz w:val="32"/>
          <w:szCs w:val="32"/>
          <w:lang w:val="en-US" w:eastAsia="zh-CN"/>
        </w:rPr>
        <w:t>（八）全面实施文化润疆工程，推动文化创新发展。</w:t>
      </w:r>
      <w:r>
        <w:rPr>
          <w:rFonts w:hint="default" w:ascii="Times New Roman" w:hAnsi="Times New Roman" w:eastAsia="仿宋_GB2312" w:cs="Times New Roman"/>
          <w:b w:val="0"/>
          <w:bCs w:val="0"/>
          <w:color w:val="auto"/>
          <w:sz w:val="32"/>
          <w:szCs w:val="32"/>
          <w:lang w:val="en-US" w:eastAsia="zh-CN"/>
        </w:rPr>
        <w:t>大力弘扬中华文化，持续推动中华优秀传统文化进学校、进家庭、进社区。深入实施公民道德建设工程，推动形成适应新时代要求的思想观念、精神面貌、文明风尚、行为规范。加强文化市场体系建设，完善文化服务网络，提高公共文化服务水平，推动公共文化数字化建设，提升文化供给能力。深入实施文化精品战略，创作推出一批正确反映阿图什历史、具有中华文化底蕴、彰显中华文化特质、符合现代文明理念、反映各族群众现实生活的精品力作。大力实施文化惠民工程，广泛开展群众性文化活动，全面推进广播电视节目地面无线数字化覆盖和广播电视“村村通”、直播、卫星“户户通”设备升级。进一步强化重要文化和自然遗产、非物质文化遗产保护，持续加强各民族优秀传统手艺保护和传承。加快发展新型文化企业、文化业态、文化消费模式，规范发展文化产业项目，积极构建现代公共文化服务体系，促进基本公共文化服务标准化、均等化。</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_GB2312" w:cs="Times New Roman"/>
          <w:b/>
          <w:bCs/>
          <w:color w:val="auto"/>
          <w:sz w:val="32"/>
          <w:szCs w:val="32"/>
          <w:lang w:val="en-US" w:eastAsia="zh-CN"/>
        </w:rPr>
        <w:t>（九）始终坚持以人民为中心，持续保障和改善民生。</w:t>
      </w:r>
      <w:r>
        <w:rPr>
          <w:rFonts w:hint="default" w:ascii="Times New Roman" w:hAnsi="Times New Roman" w:eastAsia="仿宋_GB2312" w:cs="Times New Roman"/>
          <w:b w:val="0"/>
          <w:bCs w:val="0"/>
          <w:color w:val="auto"/>
          <w:sz w:val="32"/>
          <w:szCs w:val="32"/>
          <w:lang w:val="en-US" w:eastAsia="zh-CN"/>
        </w:rPr>
        <w:t>坚持以人民为中心的发展思想，把本级财政支出的70%以上用于保障改善民生，不断增强各族群众的获得感、幸福感、安全感。积极实施扩大就业工程。积极实施增收致富工程。大力发展庭院经济，鼓励生产经营主体通过用抖音、微信、京东商城、淘宝直播等新兴平台销售农牧产品，不断拓宽增收致富途径；大力开展消费扶贫，多渠道帮助群众销售木纳格葡萄、核桃、无花果等农特产品，助力群众销售增收。积极实施教育提质工程。计划投资3504万元，完成60套乡镇教师周转房、12所学校运动场建设及智慧课堂设备采购，不断改善办学条件，促进教学质量提质增效。积极实施全民健康工程。持续提高医疗保障水平，积极推进“互联网+医疗健康”建设；加强公共卫生应急体系建设，进一步健全防范化解公共卫生风险的应急管理能力；强化基层医疗卫生服务机构能力建设和卫生人才培训，推动城乡医疗卫生服务均衡化发展，有效缓解群众看病难、看病贵的问题。健全完善社保体系。扎实做好全国“党建+社会救助”综合改革试点和自治区最低生活保障审核权限下放乡镇试点、村级协商议事试点工作，扎实做好残疾人、精神病人等特殊群体救助，加快推进社区、农村养老服务体系建设，确保有意愿的特困供养人员全部实现集中供养，努力形成系统全面的社会保障体系。扎实推进重点民生工程建设。持续加强保障性安居工程建设，计划投资9.08亿元，建设安居富民房208套，实施保障性安居工程建设项目11个，改造老旧小区37个，努力构建更加完善的住房保障体系。持续加快“煤改电”推广应用，积极推动8581户“煤改电”工程及配套电网改造升级，着力改善各族群众供暖条件，全面提升农村电气化水平，确保各族群众安居乐业，获得感、幸福感、安全感更加充实、更有保障、更可持续。积极实施公共安全保障工程。树牢“生命至上、安全第一”发展理念，健全完善公共安全体系，加强食品药品安全监管，强化安全生产监管执法，加强应急管理体系和应急救援队伍建设，提高防灾减灾抗灾救灾能力水平，全力保障各族群众生命财产安全。发挥对口援疆综合效益。坚持援疆重心向基层倾斜、向保障和改善民生倾斜、向促进各民族交往交流交融倾斜，将80%以上援疆资金用于民生和基层，持续扩大援疆成果，推动援疆工作深度融合。</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各位代表，我们坚信在市委的坚强领导下，市人大及常委会的监督支持下，深入贯彻落实习近平总书记关于统筹推进疫情防控和经济社会发展重要讲话和指示批示精神，对标中央、自治区“十四五”规划和二〇三五年远景目标，切实履行主体责任，进一步强化政治担当、责任担当、使命担当，不忘初心、牢记使命，为努力建设团结和谐、繁荣富裕、文明进步、安居乐业、生态良好的新时代中国特色社会主义新疆作出贡献，以优异的成绩庆祝建党100周年。</w:t>
      </w:r>
      <w:bookmarkStart w:id="0" w:name="_GoBack"/>
      <w:bookmarkEnd w:id="0"/>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p>
    <w:sectPr>
      <w:headerReference r:id="rId3" w:type="default"/>
      <w:footerReference r:id="rId4"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C14695A-1C15-4902-947A-A1B34785927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F6570D11-9A8D-4A72-A3AE-C12FB4993E0B}"/>
  </w:font>
  <w:font w:name="仿宋_GB2312">
    <w:panose1 w:val="02010609030101010101"/>
    <w:charset w:val="86"/>
    <w:family w:val="modern"/>
    <w:pitch w:val="default"/>
    <w:sig w:usb0="00000001" w:usb1="080E0000" w:usb2="00000000" w:usb3="00000000" w:csb0="00040000" w:csb1="00000000"/>
    <w:embedRegular r:id="rId3" w:fontKey="{FE595E3E-5CD1-41FD-BDC6-91C82340ADC8}"/>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embedRegular r:id="rId4" w:fontKey="{ABCBB84E-30B0-4B90-8131-40C4ACEE1299}"/>
  </w:font>
  <w:font w:name="方正楷体_GBK">
    <w:panose1 w:val="02000000000000000000"/>
    <w:charset w:val="86"/>
    <w:family w:val="auto"/>
    <w:pitch w:val="default"/>
    <w:sig w:usb0="00000000" w:usb1="00000000" w:usb2="00000000" w:usb3="00000000" w:csb0="00000000" w:csb1="00000000"/>
    <w:embedRegular r:id="rId5" w:fontKey="{539E724D-E5E0-4250-AA42-620CF611F3A4}"/>
  </w:font>
  <w:font w:name="楷体_GB2312">
    <w:panose1 w:val="02010609030101010101"/>
    <w:charset w:val="86"/>
    <w:family w:val="modern"/>
    <w:pitch w:val="default"/>
    <w:sig w:usb0="00000001" w:usb1="080E0000" w:usb2="00000000" w:usb3="00000000" w:csb0="00040000" w:csb1="00000000"/>
    <w:embedRegular r:id="rId6" w:fontKey="{8C835D62-6873-4C51-9ED9-B897156B9F2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-111125</wp:posOffset>
              </wp:positionV>
              <wp:extent cx="646430" cy="34544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646430" cy="345440"/>
                      </a:xfrm>
                      <a:prstGeom prst="rect">
                        <a:avLst/>
                      </a:prstGeom>
                      <a:noFill/>
                      <a:ln>
                        <a:noFill/>
                      </a:ln>
                    </wps:spPr>
                    <wps:txbx>
                      <w:txbxContent>
                        <w:p>
                          <w:pPr>
                            <w:pStyle w:val="6"/>
                            <w:jc w:val="center"/>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1 -</w:t>
                          </w:r>
                          <w:r>
                            <w:rPr>
                              <w:rFonts w:hint="eastAsia" w:ascii="宋体" w:hAnsi="宋体" w:cs="宋体"/>
                              <w:sz w:val="28"/>
                              <w:szCs w:val="28"/>
                              <w:lang w:val="zh-CN"/>
                            </w:rPr>
                            <w:fldChar w:fldCharType="end"/>
                          </w:r>
                        </w:p>
                      </w:txbxContent>
                    </wps:txbx>
                    <wps:bodyPr lIns="0" tIns="0" rIns="0" bIns="0" upright="1"/>
                  </wps:wsp>
                </a:graphicData>
              </a:graphic>
            </wp:anchor>
          </w:drawing>
        </mc:Choice>
        <mc:Fallback>
          <w:pict>
            <v:shape id="文本框 1025" o:spid="_x0000_s1026" o:spt="202" type="#_x0000_t202" style="position:absolute;left:0pt;margin-top:-8.75pt;height:27.2pt;width:50.9pt;mso-position-horizontal:center;mso-position-horizontal-relative:margin;z-index:1024;mso-width-relative:page;mso-height-relative:page;" filled="f" stroked="f" coordsize="21600,21600" o:gfxdata="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LfKvxDWAAAABwEAAA8AAAAAAAAA&#10;AQAgAAAAIgAAAGRycy9kb3ducmV2LnhtbFBLAQIUABQAAAAIAIdO4kA0Z7eVoQEAACYDAAAOAAAA&#10;AAAAAAEAIAAAACUBAABkcnMvZTJvRG9jLnhtbFBLBQYAAAAABgAGAFkBAAA4BQAAAAA=&#10;">
              <v:fill on="f" focussize="0,0"/>
              <v:stroke on="f"/>
              <v:imagedata o:title=""/>
              <o:lock v:ext="edit" aspectratio="f"/>
              <v:textbox inset="0mm,0mm,0mm,0mm">
                <w:txbxContent>
                  <w:p>
                    <w:pPr>
                      <w:pStyle w:val="6"/>
                      <w:jc w:val="center"/>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1 -</w:t>
                    </w:r>
                    <w:r>
                      <w:rPr>
                        <w:rFonts w:hint="eastAsia" w:ascii="宋体" w:hAnsi="宋体" w:cs="宋体"/>
                        <w:sz w:val="28"/>
                        <w:szCs w:val="28"/>
                        <w:lang w:val="zh-CN"/>
                      </w:rPr>
                      <w:fldChar w:fldCharType="end"/>
                    </w:r>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TrueTypeFonts/>
  <w:saveSubset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40"/>
    <w:rsid w:val="00006A6D"/>
    <w:rsid w:val="00013309"/>
    <w:rsid w:val="00024D0E"/>
    <w:rsid w:val="000260B7"/>
    <w:rsid w:val="000348E4"/>
    <w:rsid w:val="00063489"/>
    <w:rsid w:val="00065C36"/>
    <w:rsid w:val="000858F6"/>
    <w:rsid w:val="000976B6"/>
    <w:rsid w:val="000A644F"/>
    <w:rsid w:val="000B14E3"/>
    <w:rsid w:val="000B6843"/>
    <w:rsid w:val="000C1AD8"/>
    <w:rsid w:val="000C5DFC"/>
    <w:rsid w:val="000E41A7"/>
    <w:rsid w:val="000F0F21"/>
    <w:rsid w:val="00107EF0"/>
    <w:rsid w:val="00125A89"/>
    <w:rsid w:val="0013660E"/>
    <w:rsid w:val="00143CBB"/>
    <w:rsid w:val="00152071"/>
    <w:rsid w:val="00173329"/>
    <w:rsid w:val="001758C4"/>
    <w:rsid w:val="00175913"/>
    <w:rsid w:val="00177003"/>
    <w:rsid w:val="00190C05"/>
    <w:rsid w:val="001A1D70"/>
    <w:rsid w:val="001A4033"/>
    <w:rsid w:val="001B0C5A"/>
    <w:rsid w:val="001C468D"/>
    <w:rsid w:val="001C72C2"/>
    <w:rsid w:val="001D0818"/>
    <w:rsid w:val="001D1522"/>
    <w:rsid w:val="001E154F"/>
    <w:rsid w:val="001F3238"/>
    <w:rsid w:val="002020A9"/>
    <w:rsid w:val="002267CF"/>
    <w:rsid w:val="00237FC4"/>
    <w:rsid w:val="002636F8"/>
    <w:rsid w:val="00273FD8"/>
    <w:rsid w:val="002919FC"/>
    <w:rsid w:val="002B3F92"/>
    <w:rsid w:val="002B7198"/>
    <w:rsid w:val="002C0F16"/>
    <w:rsid w:val="002C26E2"/>
    <w:rsid w:val="002D3C7B"/>
    <w:rsid w:val="002D6E2D"/>
    <w:rsid w:val="003159DF"/>
    <w:rsid w:val="00324FB0"/>
    <w:rsid w:val="00326B34"/>
    <w:rsid w:val="003402DB"/>
    <w:rsid w:val="00343DEC"/>
    <w:rsid w:val="003564EC"/>
    <w:rsid w:val="00383CF3"/>
    <w:rsid w:val="00394A7E"/>
    <w:rsid w:val="003C22E5"/>
    <w:rsid w:val="003E68AF"/>
    <w:rsid w:val="00413C8A"/>
    <w:rsid w:val="00432330"/>
    <w:rsid w:val="00437770"/>
    <w:rsid w:val="004633A0"/>
    <w:rsid w:val="00466327"/>
    <w:rsid w:val="004762D8"/>
    <w:rsid w:val="00482D35"/>
    <w:rsid w:val="004840B3"/>
    <w:rsid w:val="004B288D"/>
    <w:rsid w:val="004C7B72"/>
    <w:rsid w:val="004E2481"/>
    <w:rsid w:val="005278BC"/>
    <w:rsid w:val="00530F45"/>
    <w:rsid w:val="00531DD6"/>
    <w:rsid w:val="00531FF3"/>
    <w:rsid w:val="00535415"/>
    <w:rsid w:val="0055391E"/>
    <w:rsid w:val="00565C37"/>
    <w:rsid w:val="00585569"/>
    <w:rsid w:val="00593EFB"/>
    <w:rsid w:val="005941A2"/>
    <w:rsid w:val="005A0332"/>
    <w:rsid w:val="005A6E3C"/>
    <w:rsid w:val="005B265D"/>
    <w:rsid w:val="005C63F9"/>
    <w:rsid w:val="005C79B4"/>
    <w:rsid w:val="005C7E64"/>
    <w:rsid w:val="005E1CDB"/>
    <w:rsid w:val="005E77B4"/>
    <w:rsid w:val="0061501E"/>
    <w:rsid w:val="00634690"/>
    <w:rsid w:val="00634CCC"/>
    <w:rsid w:val="00637B63"/>
    <w:rsid w:val="00641927"/>
    <w:rsid w:val="006439DA"/>
    <w:rsid w:val="00646683"/>
    <w:rsid w:val="006576B5"/>
    <w:rsid w:val="006660F6"/>
    <w:rsid w:val="006817EE"/>
    <w:rsid w:val="00683847"/>
    <w:rsid w:val="006945AD"/>
    <w:rsid w:val="006B5DC6"/>
    <w:rsid w:val="006C0C93"/>
    <w:rsid w:val="006D68FF"/>
    <w:rsid w:val="006D6A14"/>
    <w:rsid w:val="006E34BB"/>
    <w:rsid w:val="00734A5B"/>
    <w:rsid w:val="00737364"/>
    <w:rsid w:val="00753479"/>
    <w:rsid w:val="007619A1"/>
    <w:rsid w:val="00787363"/>
    <w:rsid w:val="0079219B"/>
    <w:rsid w:val="00796FB5"/>
    <w:rsid w:val="007972CE"/>
    <w:rsid w:val="007B00C5"/>
    <w:rsid w:val="007B7503"/>
    <w:rsid w:val="007C0D2B"/>
    <w:rsid w:val="007C26B7"/>
    <w:rsid w:val="007C4C06"/>
    <w:rsid w:val="00804B58"/>
    <w:rsid w:val="0081039D"/>
    <w:rsid w:val="008327B5"/>
    <w:rsid w:val="00840902"/>
    <w:rsid w:val="008409E9"/>
    <w:rsid w:val="00843915"/>
    <w:rsid w:val="0085407D"/>
    <w:rsid w:val="00854CE5"/>
    <w:rsid w:val="00864378"/>
    <w:rsid w:val="00870DD3"/>
    <w:rsid w:val="00882698"/>
    <w:rsid w:val="008909AB"/>
    <w:rsid w:val="008960FB"/>
    <w:rsid w:val="008A6194"/>
    <w:rsid w:val="008B0DCF"/>
    <w:rsid w:val="008C2AE0"/>
    <w:rsid w:val="008C4A24"/>
    <w:rsid w:val="008E0C0F"/>
    <w:rsid w:val="008E408F"/>
    <w:rsid w:val="008F06CD"/>
    <w:rsid w:val="00912A9A"/>
    <w:rsid w:val="0091505A"/>
    <w:rsid w:val="0092043E"/>
    <w:rsid w:val="00922BCD"/>
    <w:rsid w:val="0094025E"/>
    <w:rsid w:val="009405D2"/>
    <w:rsid w:val="00941BEF"/>
    <w:rsid w:val="00966AFE"/>
    <w:rsid w:val="00967268"/>
    <w:rsid w:val="00976203"/>
    <w:rsid w:val="00985FCD"/>
    <w:rsid w:val="009A471C"/>
    <w:rsid w:val="009B04FC"/>
    <w:rsid w:val="009B0AFE"/>
    <w:rsid w:val="009E2BF9"/>
    <w:rsid w:val="009E4180"/>
    <w:rsid w:val="009F58C0"/>
    <w:rsid w:val="00A0559A"/>
    <w:rsid w:val="00A072B7"/>
    <w:rsid w:val="00A232BF"/>
    <w:rsid w:val="00A46747"/>
    <w:rsid w:val="00A758EC"/>
    <w:rsid w:val="00A75F6D"/>
    <w:rsid w:val="00A93C55"/>
    <w:rsid w:val="00AC423A"/>
    <w:rsid w:val="00AD3967"/>
    <w:rsid w:val="00AE2431"/>
    <w:rsid w:val="00AF12F5"/>
    <w:rsid w:val="00AF7059"/>
    <w:rsid w:val="00AF7C73"/>
    <w:rsid w:val="00B20302"/>
    <w:rsid w:val="00B434D1"/>
    <w:rsid w:val="00B44137"/>
    <w:rsid w:val="00B50883"/>
    <w:rsid w:val="00B6293D"/>
    <w:rsid w:val="00B76B72"/>
    <w:rsid w:val="00BA5A6E"/>
    <w:rsid w:val="00BB290B"/>
    <w:rsid w:val="00C01D96"/>
    <w:rsid w:val="00C028DD"/>
    <w:rsid w:val="00C10300"/>
    <w:rsid w:val="00C133F3"/>
    <w:rsid w:val="00C26903"/>
    <w:rsid w:val="00C27B52"/>
    <w:rsid w:val="00C33051"/>
    <w:rsid w:val="00C42DF7"/>
    <w:rsid w:val="00C6286C"/>
    <w:rsid w:val="00C736F5"/>
    <w:rsid w:val="00C95E49"/>
    <w:rsid w:val="00C97540"/>
    <w:rsid w:val="00CA3BB4"/>
    <w:rsid w:val="00CA3DB2"/>
    <w:rsid w:val="00CA3E1B"/>
    <w:rsid w:val="00CA52FE"/>
    <w:rsid w:val="00CB3D82"/>
    <w:rsid w:val="00CC4C08"/>
    <w:rsid w:val="00CC73FF"/>
    <w:rsid w:val="00CE2D25"/>
    <w:rsid w:val="00CE6C7A"/>
    <w:rsid w:val="00CF07F3"/>
    <w:rsid w:val="00D0222D"/>
    <w:rsid w:val="00D11C19"/>
    <w:rsid w:val="00D21910"/>
    <w:rsid w:val="00D24600"/>
    <w:rsid w:val="00D40842"/>
    <w:rsid w:val="00D54D4C"/>
    <w:rsid w:val="00D62AD9"/>
    <w:rsid w:val="00DA024F"/>
    <w:rsid w:val="00DA40D0"/>
    <w:rsid w:val="00DB324E"/>
    <w:rsid w:val="00DB360E"/>
    <w:rsid w:val="00DC3599"/>
    <w:rsid w:val="00DC4001"/>
    <w:rsid w:val="00DD3BC4"/>
    <w:rsid w:val="00DD4474"/>
    <w:rsid w:val="00DD552F"/>
    <w:rsid w:val="00E2710E"/>
    <w:rsid w:val="00E3210E"/>
    <w:rsid w:val="00E430E3"/>
    <w:rsid w:val="00E65BB3"/>
    <w:rsid w:val="00E66B9E"/>
    <w:rsid w:val="00EA0E16"/>
    <w:rsid w:val="00ED04AD"/>
    <w:rsid w:val="00ED2EAF"/>
    <w:rsid w:val="00F04E4F"/>
    <w:rsid w:val="00F0602D"/>
    <w:rsid w:val="00F06494"/>
    <w:rsid w:val="00F50B09"/>
    <w:rsid w:val="00F563BE"/>
    <w:rsid w:val="00F56D8D"/>
    <w:rsid w:val="00F62EE4"/>
    <w:rsid w:val="00F65AF3"/>
    <w:rsid w:val="00F81402"/>
    <w:rsid w:val="00F9501C"/>
    <w:rsid w:val="00FA013D"/>
    <w:rsid w:val="00FA76EB"/>
    <w:rsid w:val="00FC21FD"/>
    <w:rsid w:val="00FC5058"/>
    <w:rsid w:val="00FC537E"/>
    <w:rsid w:val="00FF4494"/>
    <w:rsid w:val="01373AB4"/>
    <w:rsid w:val="01951A49"/>
    <w:rsid w:val="01BE3913"/>
    <w:rsid w:val="01DB746C"/>
    <w:rsid w:val="029A2E99"/>
    <w:rsid w:val="02D665DD"/>
    <w:rsid w:val="039066E6"/>
    <w:rsid w:val="04484B3D"/>
    <w:rsid w:val="04C62D31"/>
    <w:rsid w:val="05BF4F7A"/>
    <w:rsid w:val="071B57C3"/>
    <w:rsid w:val="08151353"/>
    <w:rsid w:val="08765D69"/>
    <w:rsid w:val="09295A4C"/>
    <w:rsid w:val="097E155C"/>
    <w:rsid w:val="09D43599"/>
    <w:rsid w:val="0A6B34B6"/>
    <w:rsid w:val="0B952A82"/>
    <w:rsid w:val="0C58524B"/>
    <w:rsid w:val="0D0B6EDE"/>
    <w:rsid w:val="0D446A72"/>
    <w:rsid w:val="0D647C2B"/>
    <w:rsid w:val="0DB35026"/>
    <w:rsid w:val="0F225CA1"/>
    <w:rsid w:val="0F8952A7"/>
    <w:rsid w:val="111D0AF2"/>
    <w:rsid w:val="12145874"/>
    <w:rsid w:val="12B95FB5"/>
    <w:rsid w:val="13020883"/>
    <w:rsid w:val="14002905"/>
    <w:rsid w:val="14F771CD"/>
    <w:rsid w:val="15B50C44"/>
    <w:rsid w:val="15B67FC3"/>
    <w:rsid w:val="170F3409"/>
    <w:rsid w:val="173C1472"/>
    <w:rsid w:val="17F667C4"/>
    <w:rsid w:val="17FE1545"/>
    <w:rsid w:val="199118B9"/>
    <w:rsid w:val="19C8527A"/>
    <w:rsid w:val="1A8B751D"/>
    <w:rsid w:val="1AE3780F"/>
    <w:rsid w:val="1B6A75C1"/>
    <w:rsid w:val="1C4C070C"/>
    <w:rsid w:val="1CA01AF3"/>
    <w:rsid w:val="1D50074C"/>
    <w:rsid w:val="1DA36CED"/>
    <w:rsid w:val="1F1215EE"/>
    <w:rsid w:val="1F576CC2"/>
    <w:rsid w:val="1FC0354F"/>
    <w:rsid w:val="213074F7"/>
    <w:rsid w:val="214B0577"/>
    <w:rsid w:val="21E11C7C"/>
    <w:rsid w:val="21EA2CA7"/>
    <w:rsid w:val="21F06A16"/>
    <w:rsid w:val="224D5931"/>
    <w:rsid w:val="22760705"/>
    <w:rsid w:val="2390510D"/>
    <w:rsid w:val="243862A9"/>
    <w:rsid w:val="26393EB9"/>
    <w:rsid w:val="278B19CB"/>
    <w:rsid w:val="27F14232"/>
    <w:rsid w:val="28457B3F"/>
    <w:rsid w:val="29192D6B"/>
    <w:rsid w:val="2977356E"/>
    <w:rsid w:val="2A2E6D87"/>
    <w:rsid w:val="2A306FE2"/>
    <w:rsid w:val="2AAB0EAE"/>
    <w:rsid w:val="2B49455B"/>
    <w:rsid w:val="2B92526A"/>
    <w:rsid w:val="2BE923F4"/>
    <w:rsid w:val="2C6E5AA5"/>
    <w:rsid w:val="2CA952D4"/>
    <w:rsid w:val="2F5A6978"/>
    <w:rsid w:val="304C5D6C"/>
    <w:rsid w:val="306E57EA"/>
    <w:rsid w:val="309441C4"/>
    <w:rsid w:val="324C3C26"/>
    <w:rsid w:val="327D6BE4"/>
    <w:rsid w:val="332A50BC"/>
    <w:rsid w:val="334E185F"/>
    <w:rsid w:val="33DF0415"/>
    <w:rsid w:val="342C0AF3"/>
    <w:rsid w:val="347F5BA9"/>
    <w:rsid w:val="35E17039"/>
    <w:rsid w:val="372750E3"/>
    <w:rsid w:val="37414DE1"/>
    <w:rsid w:val="399D1B0F"/>
    <w:rsid w:val="3A887065"/>
    <w:rsid w:val="3AA55A29"/>
    <w:rsid w:val="3BA55861"/>
    <w:rsid w:val="3CC2665A"/>
    <w:rsid w:val="3D1B5FE3"/>
    <w:rsid w:val="3D397FED"/>
    <w:rsid w:val="3D3F34C1"/>
    <w:rsid w:val="3E41722D"/>
    <w:rsid w:val="3F89298B"/>
    <w:rsid w:val="40780A43"/>
    <w:rsid w:val="411658C2"/>
    <w:rsid w:val="41270E3A"/>
    <w:rsid w:val="42081F7C"/>
    <w:rsid w:val="42117A0C"/>
    <w:rsid w:val="43AB47A9"/>
    <w:rsid w:val="449B19AE"/>
    <w:rsid w:val="44C85A51"/>
    <w:rsid w:val="46E427FF"/>
    <w:rsid w:val="477C13B0"/>
    <w:rsid w:val="48F51342"/>
    <w:rsid w:val="499D682A"/>
    <w:rsid w:val="49BC1AB2"/>
    <w:rsid w:val="4A251DBA"/>
    <w:rsid w:val="4A351534"/>
    <w:rsid w:val="4AED3F48"/>
    <w:rsid w:val="4CD04E79"/>
    <w:rsid w:val="4D261A09"/>
    <w:rsid w:val="4DA862FA"/>
    <w:rsid w:val="4DAD08C0"/>
    <w:rsid w:val="4DCA1D2D"/>
    <w:rsid w:val="4DF51B8B"/>
    <w:rsid w:val="4E4570A9"/>
    <w:rsid w:val="4E821EF1"/>
    <w:rsid w:val="4F5C516E"/>
    <w:rsid w:val="4FEE3FC7"/>
    <w:rsid w:val="5113723D"/>
    <w:rsid w:val="51984CCE"/>
    <w:rsid w:val="51990BC6"/>
    <w:rsid w:val="519D4375"/>
    <w:rsid w:val="51E14FDF"/>
    <w:rsid w:val="52922822"/>
    <w:rsid w:val="53051A3D"/>
    <w:rsid w:val="54F25D56"/>
    <w:rsid w:val="562B05C7"/>
    <w:rsid w:val="5636454A"/>
    <w:rsid w:val="567E1640"/>
    <w:rsid w:val="573931C3"/>
    <w:rsid w:val="578C13BD"/>
    <w:rsid w:val="591610CB"/>
    <w:rsid w:val="59C35060"/>
    <w:rsid w:val="5AC533D3"/>
    <w:rsid w:val="5BCC29ED"/>
    <w:rsid w:val="5C6645A8"/>
    <w:rsid w:val="5DFB11DC"/>
    <w:rsid w:val="5FFE07B1"/>
    <w:rsid w:val="60315739"/>
    <w:rsid w:val="629703FA"/>
    <w:rsid w:val="633F0AC1"/>
    <w:rsid w:val="63B16A13"/>
    <w:rsid w:val="63EE61FA"/>
    <w:rsid w:val="65812848"/>
    <w:rsid w:val="65991CC6"/>
    <w:rsid w:val="65DD4773"/>
    <w:rsid w:val="66471DDE"/>
    <w:rsid w:val="66537AEA"/>
    <w:rsid w:val="675C7F58"/>
    <w:rsid w:val="67F67AAB"/>
    <w:rsid w:val="6B481A63"/>
    <w:rsid w:val="6C625DEF"/>
    <w:rsid w:val="6D0D06D1"/>
    <w:rsid w:val="6F140DF9"/>
    <w:rsid w:val="6F39633C"/>
    <w:rsid w:val="7129759C"/>
    <w:rsid w:val="72166B9F"/>
    <w:rsid w:val="725E1328"/>
    <w:rsid w:val="72EC2765"/>
    <w:rsid w:val="73616D03"/>
    <w:rsid w:val="755A32BC"/>
    <w:rsid w:val="76B31F73"/>
    <w:rsid w:val="7776169F"/>
    <w:rsid w:val="77B5433E"/>
    <w:rsid w:val="786663E3"/>
    <w:rsid w:val="79011A22"/>
    <w:rsid w:val="796740E5"/>
    <w:rsid w:val="79E106C1"/>
    <w:rsid w:val="7A9509C3"/>
    <w:rsid w:val="7AEA6F8B"/>
    <w:rsid w:val="7B364406"/>
    <w:rsid w:val="7C541CCB"/>
    <w:rsid w:val="7D742B5E"/>
    <w:rsid w:val="7DC80FCF"/>
    <w:rsid w:val="7F2E23E5"/>
    <w:rsid w:val="7F991CBF"/>
    <w:rsid w:val="7FD976E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9" w:semiHidden="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2"/>
    <w:basedOn w:val="1"/>
    <w:next w:val="1"/>
    <w:unhideWhenUsed/>
    <w:qFormat/>
    <w:locked/>
    <w:uiPriority w:val="9"/>
    <w:pPr>
      <w:keepNext/>
      <w:keepLines/>
      <w:spacing w:before="260" w:after="260" w:line="416" w:lineRule="auto"/>
      <w:outlineLvl w:val="1"/>
    </w:pPr>
    <w:rPr>
      <w:rFonts w:ascii="Cambria" w:hAnsi="Cambria"/>
      <w:b/>
      <w:kern w:val="0"/>
      <w:sz w:val="32"/>
      <w:szCs w:val="20"/>
      <w:lang w:val="zh-CN"/>
    </w:rPr>
  </w:style>
  <w:style w:type="paragraph" w:styleId="5">
    <w:name w:val="heading 3"/>
    <w:basedOn w:val="1"/>
    <w:next w:val="1"/>
    <w:qFormat/>
    <w:locked/>
    <w:uiPriority w:val="99"/>
    <w:pPr>
      <w:keepNext/>
      <w:keepLines/>
      <w:spacing w:line="416" w:lineRule="auto"/>
      <w:outlineLvl w:val="2"/>
    </w:pPr>
    <w:rPr>
      <w:b/>
      <w:bCs/>
      <w:sz w:val="32"/>
      <w:szCs w:val="32"/>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link w:val="14"/>
    <w:unhideWhenUsed/>
    <w:qFormat/>
    <w:uiPriority w:val="99"/>
    <w:pPr>
      <w:spacing w:after="120" w:line="240" w:lineRule="auto"/>
      <w:ind w:left="420" w:leftChars="200" w:firstLine="420" w:firstLineChars="200"/>
    </w:pPr>
    <w:rPr>
      <w:szCs w:val="24"/>
    </w:rPr>
  </w:style>
  <w:style w:type="paragraph" w:styleId="3">
    <w:name w:val="Body Text Indent"/>
    <w:basedOn w:val="1"/>
    <w:link w:val="10"/>
    <w:qFormat/>
    <w:uiPriority w:val="0"/>
    <w:pPr>
      <w:spacing w:line="240" w:lineRule="atLeast"/>
      <w:ind w:left="900" w:hanging="900"/>
    </w:pPr>
    <w:rPr>
      <w:szCs w:val="20"/>
    </w:rPr>
  </w:style>
  <w:style w:type="paragraph" w:styleId="6">
    <w:name w:val="footer"/>
    <w:basedOn w:val="1"/>
    <w:link w:val="11"/>
    <w:qFormat/>
    <w:uiPriority w:val="99"/>
    <w:pPr>
      <w:tabs>
        <w:tab w:val="center" w:pos="4153"/>
        <w:tab w:val="right" w:pos="8306"/>
      </w:tabs>
      <w:snapToGrid w:val="0"/>
      <w:jc w:val="left"/>
    </w:pPr>
    <w:rPr>
      <w:rFonts w:ascii="Calibri" w:hAnsi="Calibri" w:eastAsia="宋体"/>
      <w:sz w:val="18"/>
      <w:szCs w:val="18"/>
    </w:rPr>
  </w:style>
  <w:style w:type="paragraph" w:styleId="7">
    <w:name w:val="header"/>
    <w:basedOn w:val="1"/>
    <w:link w:val="12"/>
    <w:qFormat/>
    <w:uiPriority w:val="99"/>
    <w:pPr>
      <w:pBdr>
        <w:bottom w:val="single" w:color="auto" w:sz="6" w:space="1"/>
      </w:pBdr>
      <w:tabs>
        <w:tab w:val="center" w:pos="4153"/>
        <w:tab w:val="right" w:pos="8306"/>
      </w:tabs>
      <w:snapToGrid w:val="0"/>
      <w:jc w:val="center"/>
    </w:pPr>
    <w:rPr>
      <w:rFonts w:ascii="Calibri" w:hAnsi="Calibri" w:eastAsia="宋体"/>
      <w:sz w:val="18"/>
      <w:szCs w:val="18"/>
    </w:rPr>
  </w:style>
  <w:style w:type="character" w:customStyle="1" w:styleId="10">
    <w:name w:val="正文文本缩进 Char"/>
    <w:basedOn w:val="8"/>
    <w:link w:val="3"/>
    <w:qFormat/>
    <w:locked/>
    <w:uiPriority w:val="99"/>
    <w:rPr>
      <w:rFonts w:ascii="Times New Roman" w:hAnsi="Times New Roman" w:eastAsia="仿宋_GB2312" w:cs="Times New Roman"/>
      <w:sz w:val="20"/>
      <w:szCs w:val="20"/>
    </w:rPr>
  </w:style>
  <w:style w:type="character" w:customStyle="1" w:styleId="11">
    <w:name w:val="页脚 Char"/>
    <w:basedOn w:val="8"/>
    <w:link w:val="6"/>
    <w:qFormat/>
    <w:locked/>
    <w:uiPriority w:val="99"/>
    <w:rPr>
      <w:rFonts w:cs="Times New Roman"/>
      <w:sz w:val="18"/>
      <w:szCs w:val="18"/>
    </w:rPr>
  </w:style>
  <w:style w:type="character" w:customStyle="1" w:styleId="12">
    <w:name w:val="页眉 Char"/>
    <w:basedOn w:val="8"/>
    <w:link w:val="7"/>
    <w:semiHidden/>
    <w:qFormat/>
    <w:locked/>
    <w:uiPriority w:val="99"/>
    <w:rPr>
      <w:rFonts w:cs="Times New Roman"/>
      <w:sz w:val="18"/>
      <w:szCs w:val="18"/>
    </w:rPr>
  </w:style>
  <w:style w:type="paragraph" w:customStyle="1" w:styleId="13">
    <w:name w:val="列出段落1"/>
    <w:basedOn w:val="1"/>
    <w:qFormat/>
    <w:uiPriority w:val="99"/>
    <w:pPr>
      <w:ind w:firstLine="420" w:firstLineChars="200"/>
    </w:pPr>
  </w:style>
  <w:style w:type="character" w:customStyle="1" w:styleId="14">
    <w:name w:val="正文首行缩进 2 Char"/>
    <w:basedOn w:val="10"/>
    <w:link w:val="2"/>
    <w:semiHidden/>
    <w:qFormat/>
    <w:uiPriority w:val="99"/>
    <w:rPr>
      <w:kern w:val="2"/>
      <w:sz w:val="32"/>
      <w:szCs w:val="24"/>
    </w:rPr>
  </w:style>
  <w:style w:type="paragraph" w:customStyle="1" w:styleId="15">
    <w:name w:val="p0"/>
    <w:basedOn w:val="1"/>
    <w:qFormat/>
    <w:uiPriority w:val="0"/>
    <w:pPr>
      <w:adjustRightInd/>
      <w:snapToGrid/>
      <w:spacing w:after="0"/>
      <w:jc w:val="both"/>
    </w:pPr>
    <w:rPr>
      <w:rFonts w:ascii="Calibri" w:hAnsi="Calibri" w:eastAsia="宋体" w:cs="Times New Roman"/>
      <w:sz w:val="21"/>
      <w:szCs w:val="21"/>
    </w:rPr>
  </w:style>
  <w:style w:type="paragraph" w:customStyle="1" w:styleId="16">
    <w:name w:val="p21"/>
    <w:basedOn w:val="1"/>
    <w:qFormat/>
    <w:uiPriority w:val="0"/>
    <w:pPr>
      <w:widowControl/>
    </w:pPr>
    <w:rPr>
      <w:kern w:val="0"/>
      <w:szCs w:val="21"/>
    </w:rPr>
  </w:style>
  <w:style w:type="paragraph" w:customStyle="1" w:styleId="17">
    <w:name w:val="p16"/>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18</Pages>
  <Words>1492</Words>
  <Characters>8506</Characters>
  <Lines>70</Lines>
  <Paragraphs>19</Paragraphs>
  <TotalTime>43</TotalTime>
  <ScaleCrop>false</ScaleCrop>
  <LinksUpToDate>false</LinksUpToDate>
  <CharactersWithSpaces>9979</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2017-01-25T05:35:00Z</dcterms:created>
  <dc:creator>周冲</dc:creator>
  <cp:lastModifiedBy>Administrator</cp:lastModifiedBy>
  <cp:lastPrinted>2020-12-30T04:43:00Z</cp:lastPrinted>
  <dcterms:modified xsi:type="dcterms:W3CDTF">2021-02-01T09:34:02Z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KSOSaveFontToCloudKey">
    <vt:lpwstr>322897846_btnclosed</vt:lpwstr>
  </property>
</Properties>
</file>